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ind w:left="1263" w:leftChars="200" w:hanging="843" w:hangingChars="300"/>
        <w:jc w:val="left"/>
        <w:rPr>
          <w:b/>
          <w:sz w:val="28"/>
          <w:szCs w:val="28"/>
        </w:rPr>
      </w:pPr>
      <w:bookmarkStart w:id="0" w:name="_Toc304884683"/>
    </w:p>
    <w:p>
      <w:pPr>
        <w:spacing w:line="360" w:lineRule="auto"/>
        <w:jc w:val="center"/>
        <w:rPr>
          <w:rFonts w:ascii="宋体" w:hAnsi="宋体"/>
          <w:b/>
          <w:bCs/>
          <w:sz w:val="56"/>
          <w:szCs w:val="52"/>
        </w:rPr>
      </w:pPr>
      <w:r>
        <w:rPr>
          <w:rFonts w:hint="eastAsia" w:ascii="宋体" w:hAnsi="宋体"/>
          <w:b/>
          <w:bCs/>
          <w:sz w:val="56"/>
          <w:szCs w:val="52"/>
        </w:rPr>
        <w:t>蚌埠市公共资源交易招标文件</w:t>
      </w:r>
    </w:p>
    <w:p>
      <w:pPr>
        <w:pStyle w:val="17"/>
        <w:spacing w:line="360" w:lineRule="auto"/>
        <w:rPr>
          <w:rFonts w:ascii="宋体" w:eastAsia="宋体"/>
          <w:sz w:val="32"/>
        </w:rPr>
      </w:pPr>
    </w:p>
    <w:p>
      <w:pPr>
        <w:pStyle w:val="17"/>
        <w:spacing w:line="360" w:lineRule="auto"/>
        <w:jc w:val="center"/>
        <w:rPr>
          <w:rFonts w:ascii="宋体" w:eastAsia="宋体"/>
          <w:sz w:val="32"/>
        </w:rPr>
      </w:pPr>
    </w:p>
    <w:p>
      <w:pPr>
        <w:pStyle w:val="17"/>
        <w:spacing w:line="360" w:lineRule="auto"/>
        <w:jc w:val="center"/>
        <w:rPr>
          <w:rFonts w:ascii="宋体" w:eastAsia="宋体"/>
          <w:color w:val="FF0000"/>
          <w:sz w:val="32"/>
        </w:rPr>
      </w:pPr>
      <w:r>
        <w:rPr>
          <w:rFonts w:ascii="宋体" w:eastAsia="宋体"/>
          <w:color w:val="FF0000"/>
          <w:sz w:val="32"/>
        </w:rPr>
        <w:drawing>
          <wp:inline distT="0" distB="0" distL="0" distR="0">
            <wp:extent cx="1619250" cy="1438275"/>
            <wp:effectExtent l="0" t="0" r="0" b="9525"/>
            <wp:docPr id="2"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复件 bzb标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619250" cy="1438275"/>
                    </a:xfrm>
                    <a:prstGeom prst="rect">
                      <a:avLst/>
                    </a:prstGeom>
                    <a:noFill/>
                    <a:ln>
                      <a:noFill/>
                    </a:ln>
                  </pic:spPr>
                </pic:pic>
              </a:graphicData>
            </a:graphic>
          </wp:inline>
        </w:drawing>
      </w:r>
    </w:p>
    <w:p>
      <w:pPr>
        <w:pStyle w:val="17"/>
        <w:spacing w:line="360" w:lineRule="auto"/>
        <w:jc w:val="left"/>
        <w:rPr>
          <w:rFonts w:ascii="宋体" w:eastAsia="宋体"/>
        </w:rPr>
      </w:pPr>
    </w:p>
    <w:p>
      <w:pPr>
        <w:pStyle w:val="17"/>
        <w:spacing w:line="360" w:lineRule="auto"/>
        <w:jc w:val="left"/>
        <w:rPr>
          <w:rFonts w:ascii="宋体" w:eastAsia="宋体"/>
        </w:rPr>
      </w:pPr>
    </w:p>
    <w:p>
      <w:pPr>
        <w:pStyle w:val="17"/>
        <w:spacing w:line="360" w:lineRule="auto"/>
        <w:jc w:val="left"/>
        <w:rPr>
          <w:rFonts w:ascii="宋体" w:eastAsia="宋体"/>
        </w:rPr>
      </w:pPr>
    </w:p>
    <w:p>
      <w:pPr>
        <w:tabs>
          <w:tab w:val="left" w:pos="420"/>
        </w:tabs>
        <w:spacing w:line="360" w:lineRule="auto"/>
        <w:rPr>
          <w:rFonts w:ascii="宋体" w:hAnsi="宋体"/>
          <w:b/>
          <w:bCs/>
          <w:spacing w:val="36"/>
          <w:sz w:val="28"/>
          <w:szCs w:val="28"/>
        </w:rPr>
      </w:pPr>
      <w:permStart w:id="0" w:edGrp="everyone"/>
    </w:p>
    <w:p>
      <w:pPr>
        <w:spacing w:line="360" w:lineRule="auto"/>
        <w:ind w:firstLine="1968" w:firstLineChars="700"/>
        <w:jc w:val="left"/>
        <w:rPr>
          <w:rFonts w:ascii="宋体" w:hAnsi="宋体"/>
          <w:b/>
          <w:bCs/>
          <w:spacing w:val="36"/>
          <w:sz w:val="28"/>
          <w:szCs w:val="28"/>
          <w:u w:val="single"/>
        </w:rPr>
      </w:pPr>
      <w:r>
        <w:rPr>
          <w:rFonts w:hint="eastAsia" w:ascii="宋体" w:hAnsi="宋体"/>
          <w:b/>
          <w:sz w:val="28"/>
        </w:rPr>
        <w:t>项目名称:</w:t>
      </w:r>
      <w:r>
        <w:rPr>
          <w:rFonts w:hint="eastAsia" w:ascii="宋体" w:hAnsi="宋体"/>
          <w:b/>
          <w:bCs/>
          <w:spacing w:val="36"/>
          <w:sz w:val="28"/>
          <w:szCs w:val="28"/>
          <w:u w:val="single"/>
        </w:rPr>
        <w:t xml:space="preserve">                    </w:t>
      </w:r>
    </w:p>
    <w:p>
      <w:pPr>
        <w:spacing w:line="360" w:lineRule="auto"/>
        <w:ind w:firstLine="1968" w:firstLineChars="700"/>
        <w:jc w:val="left"/>
        <w:rPr>
          <w:rFonts w:ascii="宋体" w:hAnsi="宋体"/>
          <w:b/>
          <w:spacing w:val="36"/>
          <w:sz w:val="28"/>
          <w:szCs w:val="28"/>
          <w:u w:val="single"/>
        </w:rPr>
      </w:pPr>
      <w:r>
        <w:rPr>
          <w:rFonts w:hint="eastAsia" w:ascii="宋体" w:hAnsi="宋体"/>
          <w:b/>
          <w:sz w:val="28"/>
        </w:rPr>
        <w:t>项目编号:</w:t>
      </w:r>
      <w:r>
        <w:rPr>
          <w:rFonts w:hint="eastAsia" w:ascii="宋体" w:hAnsi="宋体"/>
          <w:b/>
          <w:bCs/>
          <w:spacing w:val="36"/>
          <w:sz w:val="28"/>
          <w:szCs w:val="28"/>
          <w:u w:val="single"/>
        </w:rPr>
        <w:t xml:space="preserve">                    </w:t>
      </w:r>
    </w:p>
    <w:p>
      <w:pPr>
        <w:spacing w:line="360" w:lineRule="auto"/>
        <w:ind w:firstLine="1968" w:firstLineChars="700"/>
        <w:jc w:val="left"/>
        <w:rPr>
          <w:rFonts w:ascii="宋体" w:hAnsi="宋体"/>
          <w:sz w:val="32"/>
          <w:u w:val="single"/>
        </w:rPr>
      </w:pPr>
      <w:r>
        <w:rPr>
          <w:rFonts w:hint="eastAsia" w:ascii="宋体" w:hAnsi="宋体"/>
          <w:b/>
          <w:sz w:val="28"/>
        </w:rPr>
        <w:t>招标人:</w:t>
      </w:r>
      <w:r>
        <w:rPr>
          <w:rFonts w:hint="eastAsia" w:ascii="宋体" w:hAnsi="宋体"/>
          <w:u w:val="single"/>
        </w:rPr>
        <w:t xml:space="preserve">                                           </w:t>
      </w:r>
    </w:p>
    <w:p>
      <w:pPr>
        <w:spacing w:line="360" w:lineRule="auto"/>
        <w:ind w:firstLine="1405" w:firstLineChars="500"/>
        <w:jc w:val="left"/>
        <w:rPr>
          <w:rFonts w:ascii="宋体" w:hAnsi="宋体"/>
          <w:u w:val="single"/>
        </w:rPr>
      </w:pPr>
      <w:r>
        <w:rPr>
          <w:rFonts w:hint="eastAsia" w:ascii="宋体" w:hAnsi="宋体"/>
          <w:b/>
          <w:sz w:val="28"/>
        </w:rPr>
        <w:t>招标代理机构：</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p>
    <w:p>
      <w:pPr>
        <w:spacing w:line="360" w:lineRule="auto"/>
        <w:ind w:firstLine="1968" w:firstLineChars="700"/>
        <w:jc w:val="left"/>
        <w:rPr>
          <w:rFonts w:ascii="宋体" w:hAnsi="宋体"/>
          <w:b/>
          <w:sz w:val="32"/>
          <w:u w:val="single"/>
        </w:rPr>
      </w:pPr>
      <w:r>
        <w:rPr>
          <w:rFonts w:hint="eastAsia" w:ascii="宋体" w:hAnsi="宋体"/>
          <w:b/>
          <w:sz w:val="28"/>
        </w:rPr>
        <w:t>发布时间：</w:t>
      </w:r>
      <w:r>
        <w:rPr>
          <w:rFonts w:hint="eastAsia" w:ascii="宋体" w:hAnsi="宋体"/>
          <w:b/>
          <w:sz w:val="28"/>
          <w:u w:val="single"/>
        </w:rPr>
        <w:t xml:space="preserve">       年   </w:t>
      </w:r>
      <w:r>
        <w:rPr>
          <w:rFonts w:hint="eastAsia" w:ascii="宋体" w:hAnsi="宋体"/>
          <w:b/>
          <w:sz w:val="32"/>
          <w:u w:val="single"/>
        </w:rPr>
        <w:t xml:space="preserve"> 月    日 </w:t>
      </w:r>
      <w:r>
        <w:rPr>
          <w:rFonts w:ascii="宋体" w:hAnsi="宋体"/>
          <w:b/>
          <w:sz w:val="32"/>
          <w:u w:val="single"/>
        </w:rPr>
        <w:t xml:space="preserve">     </w:t>
      </w:r>
    </w:p>
    <w:permEnd w:id="0"/>
    <w:p>
      <w:pPr>
        <w:pStyle w:val="17"/>
        <w:spacing w:line="360" w:lineRule="auto"/>
        <w:ind w:left="1200" w:hanging="1200" w:hangingChars="500"/>
        <w:jc w:val="left"/>
        <w:rPr>
          <w:rFonts w:ascii="宋体" w:eastAsia="宋体"/>
        </w:rPr>
      </w:pPr>
    </w:p>
    <w:p>
      <w:pPr>
        <w:pStyle w:val="17"/>
        <w:spacing w:line="360" w:lineRule="auto"/>
        <w:ind w:left="1200" w:hanging="1200" w:hangingChars="500"/>
        <w:jc w:val="left"/>
        <w:rPr>
          <w:rFonts w:ascii="宋体" w:eastAsia="宋体"/>
        </w:rPr>
      </w:pPr>
    </w:p>
    <w:p>
      <w:pPr>
        <w:spacing w:line="360" w:lineRule="auto"/>
        <w:jc w:val="center"/>
        <w:rPr>
          <w:rFonts w:ascii="宋体" w:hAnsi="宋体"/>
          <w:b/>
          <w:sz w:val="32"/>
        </w:rPr>
      </w:pPr>
    </w:p>
    <w:p>
      <w:pPr>
        <w:spacing w:line="360" w:lineRule="auto"/>
        <w:jc w:val="center"/>
        <w:rPr>
          <w:rFonts w:ascii="宋体" w:hAnsi="宋体"/>
          <w:b/>
          <w:sz w:val="32"/>
        </w:rPr>
      </w:pPr>
      <w:r>
        <w:rPr>
          <w:rFonts w:hint="eastAsia" w:ascii="宋体" w:hAnsi="宋体"/>
          <w:b/>
          <w:sz w:val="32"/>
        </w:rPr>
        <w:t>蚌埠市公共资源交易监督管理局监制</w:t>
      </w:r>
    </w:p>
    <w:p>
      <w:pPr>
        <w:widowControl/>
        <w:jc w:val="left"/>
        <w:rPr>
          <w:rFonts w:ascii="仿宋_GB2312" w:hAnsi="宋体" w:eastAsia="仿宋_GB2312"/>
          <w:b/>
          <w:color w:val="000000"/>
          <w:sz w:val="28"/>
          <w:szCs w:val="28"/>
        </w:rPr>
      </w:pPr>
      <w:r>
        <w:rPr>
          <w:b/>
          <w:sz w:val="28"/>
          <w:szCs w:val="28"/>
        </w:rPr>
        <w:br w:type="page"/>
      </w:r>
    </w:p>
    <w:p>
      <w:pPr>
        <w:pStyle w:val="17"/>
        <w:ind w:left="1263" w:leftChars="200" w:hanging="843" w:hangingChars="300"/>
        <w:jc w:val="left"/>
        <w:rPr>
          <w:b/>
          <w:sz w:val="28"/>
          <w:szCs w:val="28"/>
        </w:rPr>
      </w:pPr>
    </w:p>
    <w:p>
      <w:pPr>
        <w:pStyle w:val="3"/>
        <w:ind w:left="397"/>
        <w:rPr>
          <w:rFonts w:ascii="仿宋_GB2312" w:hAnsi="华文仿宋" w:eastAsia="仿宋_GB2312"/>
          <w:b w:val="0"/>
          <w:bCs/>
          <w:szCs w:val="44"/>
        </w:rPr>
      </w:pPr>
      <w:r>
        <w:rPr>
          <w:rFonts w:hint="eastAsia" w:ascii="仿宋_GB2312" w:hAnsi="华文仿宋" w:eastAsia="仿宋_GB2312"/>
          <w:b w:val="0"/>
          <w:bCs/>
          <w:szCs w:val="44"/>
        </w:rPr>
        <w:t>招 标 公 告</w:t>
      </w:r>
    </w:p>
    <w:bookmarkEnd w:id="0"/>
    <w:p>
      <w:pPr>
        <w:adjustRightInd w:val="0"/>
        <w:snapToGrid w:val="0"/>
        <w:jc w:val="left"/>
        <w:rPr>
          <w:rFonts w:ascii="黑体" w:hAnsi="黑体" w:eastAsia="黑体"/>
          <w:color w:val="000000"/>
          <w:sz w:val="24"/>
        </w:rPr>
      </w:pPr>
      <w:r>
        <w:rPr>
          <w:rFonts w:hint="eastAsia" w:ascii="黑体" w:hAnsi="黑体" w:eastAsia="黑体"/>
          <w:color w:val="000000"/>
          <w:sz w:val="24"/>
        </w:rPr>
        <w:t>1、项目名称及内容</w:t>
      </w:r>
    </w:p>
    <w:p>
      <w:pPr>
        <w:adjustRightInd w:val="0"/>
        <w:snapToGrid w:val="0"/>
        <w:jc w:val="left"/>
        <w:rPr>
          <w:rFonts w:ascii="仿宋" w:hAnsi="仿宋" w:eastAsia="仿宋"/>
          <w:color w:val="000000"/>
          <w:sz w:val="24"/>
          <w:szCs w:val="20"/>
          <w:u w:val="single"/>
        </w:rPr>
      </w:pPr>
      <w:permStart w:id="1" w:edGrp="everyone"/>
      <w:r>
        <w:rPr>
          <w:rFonts w:hint="eastAsia" w:ascii="仿宋" w:hAnsi="仿宋" w:eastAsia="仿宋"/>
          <w:color w:val="000000"/>
          <w:sz w:val="24"/>
        </w:rPr>
        <w:t>项目名称：</w:t>
      </w:r>
      <w:r>
        <w:rPr>
          <w:rFonts w:hint="eastAsia" w:ascii="仿宋" w:hAnsi="仿宋" w:eastAsia="仿宋"/>
          <w:color w:val="000000"/>
          <w:sz w:val="24"/>
          <w:u w:val="single"/>
        </w:rPr>
        <w:t xml:space="preserve">                            </w:t>
      </w:r>
    </w:p>
    <w:p>
      <w:pPr>
        <w:jc w:val="left"/>
        <w:rPr>
          <w:rFonts w:ascii="仿宋" w:hAnsi="仿宋" w:eastAsia="仿宋"/>
          <w:color w:val="000000"/>
          <w:sz w:val="24"/>
          <w:u w:val="single"/>
        </w:rPr>
      </w:pPr>
      <w:r>
        <w:rPr>
          <w:rFonts w:hint="eastAsia" w:ascii="仿宋" w:hAnsi="仿宋" w:eastAsia="仿宋"/>
          <w:color w:val="000000"/>
          <w:sz w:val="24"/>
        </w:rPr>
        <w:t>项目编号：</w:t>
      </w:r>
      <w:r>
        <w:rPr>
          <w:rFonts w:hint="eastAsia" w:ascii="仿宋" w:hAnsi="仿宋" w:eastAsia="仿宋"/>
          <w:color w:val="000000"/>
          <w:sz w:val="24"/>
          <w:u w:val="single"/>
        </w:rPr>
        <w:t xml:space="preserve">                            </w:t>
      </w:r>
    </w:p>
    <w:p>
      <w:pPr>
        <w:jc w:val="left"/>
        <w:rPr>
          <w:rFonts w:ascii="仿宋" w:hAnsi="仿宋" w:eastAsia="仿宋"/>
          <w:color w:val="000000"/>
          <w:sz w:val="24"/>
        </w:rPr>
      </w:pPr>
      <w:r>
        <w:rPr>
          <w:rFonts w:hint="eastAsia" w:ascii="仿宋" w:hAnsi="仿宋" w:eastAsia="仿宋"/>
          <w:color w:val="000000"/>
          <w:sz w:val="24"/>
        </w:rPr>
        <w:t>招标人：</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招标代理人：</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项目性质：</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szCs w:val="20"/>
          <w:u w:val="single"/>
        </w:rPr>
      </w:pPr>
      <w:r>
        <w:rPr>
          <w:rFonts w:hint="eastAsia" w:ascii="仿宋" w:hAnsi="仿宋" w:eastAsia="仿宋"/>
          <w:color w:val="000000"/>
          <w:sz w:val="24"/>
        </w:rPr>
        <w:t>项目地点：</w:t>
      </w:r>
      <w:r>
        <w:rPr>
          <w:rFonts w:hint="eastAsia" w:ascii="仿宋" w:hAnsi="仿宋" w:eastAsia="仿宋"/>
          <w:color w:val="000000"/>
          <w:sz w:val="24"/>
          <w:u w:val="single"/>
        </w:rPr>
        <w:t xml:space="preserve">                            </w:t>
      </w:r>
    </w:p>
    <w:p>
      <w:pPr>
        <w:rPr>
          <w:rFonts w:ascii="仿宋" w:hAnsi="仿宋" w:eastAsia="仿宋"/>
          <w:color w:val="000000"/>
          <w:sz w:val="24"/>
          <w:u w:val="single"/>
        </w:rPr>
      </w:pPr>
      <w:r>
        <w:rPr>
          <w:rFonts w:hint="eastAsia" w:ascii="仿宋" w:hAnsi="仿宋" w:eastAsia="仿宋"/>
          <w:color w:val="000000"/>
          <w:sz w:val="24"/>
        </w:rPr>
        <w:t>实施时间：</w:t>
      </w:r>
      <w:r>
        <w:rPr>
          <w:rFonts w:hint="eastAsia" w:ascii="仿宋" w:hAnsi="仿宋" w:eastAsia="仿宋"/>
          <w:color w:val="000000"/>
          <w:sz w:val="24"/>
          <w:u w:val="single"/>
        </w:rPr>
        <w:t xml:space="preserve">                            </w:t>
      </w:r>
    </w:p>
    <w:p>
      <w:pPr>
        <w:rPr>
          <w:rFonts w:ascii="仿宋" w:hAnsi="仿宋" w:eastAsia="仿宋"/>
          <w:color w:val="000000"/>
          <w:sz w:val="24"/>
          <w:u w:val="single"/>
        </w:rPr>
      </w:pPr>
      <w:r>
        <w:rPr>
          <w:rFonts w:hint="eastAsia" w:ascii="仿宋" w:hAnsi="仿宋" w:eastAsia="仿宋"/>
          <w:color w:val="000000"/>
          <w:sz w:val="24"/>
        </w:rPr>
        <w:t>项目内容：</w:t>
      </w:r>
      <w:r>
        <w:rPr>
          <w:rFonts w:hint="eastAsia" w:ascii="仿宋" w:hAnsi="仿宋" w:eastAsia="仿宋"/>
          <w:color w:val="000000"/>
          <w:sz w:val="24"/>
          <w:u w:val="single"/>
        </w:rPr>
        <w:t xml:space="preserve">                            </w:t>
      </w:r>
    </w:p>
    <w:p>
      <w:pPr>
        <w:rPr>
          <w:rFonts w:ascii="仿宋" w:hAnsi="仿宋" w:eastAsia="仿宋"/>
          <w:color w:val="000000"/>
          <w:sz w:val="24"/>
          <w:u w:val="single"/>
        </w:rPr>
      </w:pPr>
      <w:r>
        <w:rPr>
          <w:rFonts w:hint="eastAsia" w:ascii="仿宋" w:hAnsi="仿宋" w:eastAsia="仿宋"/>
          <w:color w:val="000000"/>
          <w:sz w:val="24"/>
        </w:rPr>
        <w:t>项目范围：</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项目规模：</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工程预算：</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资金来源：</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立项批准部门文号：</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招标方式：</w:t>
      </w:r>
      <w:r>
        <w:rPr>
          <w:rFonts w:hint="eastAsia" w:ascii="仿宋" w:hAnsi="仿宋" w:eastAsia="仿宋"/>
          <w:color w:val="000000"/>
          <w:sz w:val="24"/>
          <w:u w:val="single"/>
        </w:rPr>
        <w:t xml:space="preserve">                            </w:t>
      </w:r>
      <w:permEnd w:id="1"/>
    </w:p>
    <w:p>
      <w:pPr>
        <w:adjustRightInd w:val="0"/>
        <w:snapToGrid w:val="0"/>
        <w:rPr>
          <w:rFonts w:ascii="仿宋" w:hAnsi="仿宋" w:eastAsia="仿宋"/>
          <w:color w:val="000000"/>
          <w:sz w:val="24"/>
        </w:rPr>
      </w:pPr>
    </w:p>
    <w:p>
      <w:pPr>
        <w:adjustRightInd w:val="0"/>
        <w:snapToGrid w:val="0"/>
        <w:rPr>
          <w:rFonts w:ascii="黑体" w:hAnsi="黑体" w:eastAsia="黑体"/>
          <w:color w:val="000000"/>
          <w:sz w:val="24"/>
          <w:szCs w:val="20"/>
        </w:rPr>
      </w:pPr>
      <w:r>
        <w:rPr>
          <w:rFonts w:hint="eastAsia" w:ascii="黑体" w:hAnsi="黑体" w:eastAsia="黑体"/>
          <w:color w:val="000000"/>
          <w:sz w:val="24"/>
        </w:rPr>
        <w:t xml:space="preserve">2、投标人资格要求 </w:t>
      </w:r>
    </w:p>
    <w:p>
      <w:pPr>
        <w:adjustRightInd w:val="0"/>
        <w:snapToGrid w:val="0"/>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.1</w:t>
      </w:r>
      <w:r>
        <w:rPr>
          <w:rFonts w:hint="eastAsia" w:ascii="仿宋" w:hAnsi="仿宋" w:eastAsia="仿宋"/>
          <w:b/>
          <w:color w:val="000000"/>
          <w:sz w:val="24"/>
        </w:rPr>
        <w:t>企业要求</w:t>
      </w:r>
    </w:p>
    <w:p>
      <w:pPr>
        <w:adjustRightInd w:val="0"/>
        <w:snapToGrid w:val="0"/>
        <w:rPr>
          <w:rFonts w:ascii="仿宋" w:hAnsi="仿宋" w:eastAsia="仿宋"/>
          <w:bCs/>
          <w:color w:val="000000"/>
          <w:sz w:val="24"/>
          <w:u w:val="single"/>
        </w:rPr>
      </w:pPr>
      <w:r>
        <w:rPr>
          <w:rFonts w:hint="eastAsia" w:ascii="仿宋" w:hAnsi="仿宋" w:eastAsia="仿宋"/>
          <w:bCs/>
          <w:color w:val="000000"/>
          <w:sz w:val="24"/>
        </w:rPr>
        <w:t>（1）资质：</w:t>
      </w:r>
      <w:permStart w:id="2" w:edGrp="everyone"/>
      <w:r>
        <w:rPr>
          <w:rFonts w:hint="eastAsia" w:ascii="仿宋" w:hAnsi="仿宋" w:eastAsia="仿宋"/>
          <w:bCs/>
          <w:color w:val="000000"/>
          <w:sz w:val="24"/>
          <w:u w:val="single"/>
        </w:rPr>
        <w:t xml:space="preserve"> </w:t>
      </w:r>
      <w:r>
        <w:rPr>
          <w:rFonts w:ascii="仿宋" w:hAnsi="仿宋" w:eastAsia="仿宋"/>
          <w:bCs/>
          <w:color w:val="000000"/>
          <w:sz w:val="24"/>
          <w:u w:val="single"/>
        </w:rPr>
        <w:t xml:space="preserve">                                                  </w:t>
      </w:r>
    </w:p>
    <w:permEnd w:id="2"/>
    <w:p>
      <w:pPr>
        <w:adjustRightInd w:val="0"/>
        <w:snapToGrid w:val="0"/>
        <w:rPr>
          <w:rFonts w:ascii="仿宋" w:hAnsi="仿宋" w:eastAsia="仿宋"/>
          <w:bCs/>
          <w:color w:val="000000"/>
          <w:sz w:val="24"/>
          <w:u w:val="single"/>
        </w:rPr>
      </w:pPr>
      <w:r>
        <w:rPr>
          <w:rFonts w:hint="eastAsia" w:ascii="仿宋" w:hAnsi="仿宋" w:eastAsia="仿宋"/>
          <w:bCs/>
          <w:color w:val="000000"/>
          <w:sz w:val="24"/>
        </w:rPr>
        <w:t>（2）业绩：</w:t>
      </w:r>
      <w:permStart w:id="3" w:edGrp="everyone"/>
      <w:r>
        <w:rPr>
          <w:rFonts w:hint="eastAsia" w:ascii="仿宋" w:hAnsi="仿宋" w:eastAsia="仿宋"/>
          <w:bCs/>
          <w:color w:val="000000"/>
          <w:sz w:val="24"/>
          <w:u w:val="single"/>
        </w:rPr>
        <w:t>参照蚌招标〔2014〕34、35号文设置，时间要求参照房建项目设置，需同时提供①中标通知书或合同、②（前8年）  年  月  日以来竣工验收鉴定书（交通运输主管部门盖章）或交工验收证书（设计、施工、监理、建设单位盖章）或行业主管部门出具的已完工证明。中标通知书、施工合同中约定的竣（交）工时间、规模、造价与实际情况不一致时，以竣工验收鉴定书或交工验收证书或已完工证明中载明的信息为准。</w:t>
      </w:r>
      <w:permEnd w:id="3"/>
    </w:p>
    <w:p>
      <w:pPr>
        <w:rPr>
          <w:rFonts w:ascii="仿宋" w:hAnsi="仿宋" w:eastAsia="仿宋"/>
          <w:b/>
          <w:bCs/>
          <w:color w:val="000000"/>
          <w:sz w:val="24"/>
        </w:rPr>
      </w:pPr>
    </w:p>
    <w:p>
      <w:pPr>
        <w:rPr>
          <w:rFonts w:ascii="仿宋" w:hAnsi="仿宋" w:eastAsia="仿宋"/>
          <w:b/>
          <w:color w:val="000000"/>
          <w:sz w:val="24"/>
        </w:rPr>
      </w:pPr>
      <w:r>
        <w:rPr>
          <w:rFonts w:ascii="仿宋" w:hAnsi="仿宋" w:eastAsia="仿宋"/>
          <w:b/>
          <w:bCs/>
          <w:color w:val="000000"/>
          <w:sz w:val="24"/>
        </w:rPr>
        <w:t>2.2</w:t>
      </w:r>
      <w:r>
        <w:rPr>
          <w:rFonts w:hint="eastAsia" w:ascii="仿宋" w:hAnsi="仿宋" w:eastAsia="仿宋"/>
          <w:b/>
          <w:color w:val="000000"/>
          <w:sz w:val="24"/>
        </w:rPr>
        <w:t>项目经理要求</w:t>
      </w:r>
    </w:p>
    <w:p>
      <w:pPr>
        <w:rPr>
          <w:rFonts w:ascii="仿宋" w:hAnsi="仿宋" w:eastAsia="仿宋"/>
          <w:color w:val="000000"/>
          <w:sz w:val="24"/>
          <w:u w:val="single"/>
        </w:rPr>
      </w:pPr>
      <w:r>
        <w:rPr>
          <w:rFonts w:hint="eastAsia" w:ascii="仿宋" w:hAnsi="仿宋" w:eastAsia="仿宋"/>
          <w:bCs/>
          <w:color w:val="000000"/>
          <w:sz w:val="24"/>
        </w:rPr>
        <w:t>（1）</w:t>
      </w:r>
      <w:r>
        <w:rPr>
          <w:rFonts w:hint="eastAsia" w:ascii="仿宋" w:hAnsi="仿宋" w:eastAsia="仿宋"/>
          <w:color w:val="0070C0"/>
          <w:sz w:val="24"/>
        </w:rPr>
        <w:t>执业资格</w:t>
      </w:r>
      <w:r>
        <w:rPr>
          <w:rFonts w:hint="eastAsia" w:ascii="仿宋" w:hAnsi="仿宋" w:eastAsia="仿宋"/>
          <w:color w:val="000000"/>
          <w:sz w:val="24"/>
        </w:rPr>
        <w:t>：</w:t>
      </w:r>
      <w:permStart w:id="4" w:edGrp="everyone"/>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permEnd w:id="4"/>
    </w:p>
    <w:p>
      <w:pPr>
        <w:rPr>
          <w:rFonts w:ascii="仿宋" w:hAnsi="仿宋" w:eastAsia="仿宋"/>
          <w:bCs/>
          <w:color w:val="000000"/>
          <w:sz w:val="24"/>
          <w:u w:val="single"/>
        </w:rPr>
      </w:pPr>
      <w:r>
        <w:rPr>
          <w:rFonts w:hint="eastAsia" w:ascii="仿宋" w:hAnsi="仿宋" w:eastAsia="仿宋"/>
          <w:color w:val="000000"/>
          <w:sz w:val="24"/>
        </w:rPr>
        <w:t>（2）业绩：</w:t>
      </w:r>
      <w:permStart w:id="5" w:edGrp="everyone"/>
      <w:r>
        <w:rPr>
          <w:rFonts w:hint="eastAsia" w:ascii="仿宋" w:hAnsi="仿宋" w:eastAsia="仿宋"/>
          <w:bCs/>
          <w:color w:val="000000"/>
          <w:sz w:val="24"/>
          <w:u w:val="single"/>
        </w:rPr>
        <w:t xml:space="preserve">  参照蚌招标〔2014〕34、35号文设置，时间要求参照房建项目设置，需同时提供①中标通知书或合同、②（前8年）  年  月  日以来竣工验收鉴定书（交通运输主管部门盖章）或交工验收证书（设计、施工、监理、建设单位盖章）或行业主管部门出具的已完工证明。中标通知书、施工合同中约定的竣（交）工时间、规模、造价与实际情况不一致时，以竣工验收鉴定书或交工验收证书或已完工证明中载明的信息为准。（项目经理业绩，在合同履行过程中项目经理发生变更的，该业绩属于变更后的项目经理。）</w:t>
      </w:r>
    </w:p>
    <w:p>
      <w:pPr>
        <w:rPr>
          <w:rFonts w:ascii="仿宋" w:hAnsi="仿宋" w:eastAsia="仿宋"/>
          <w:b/>
          <w:bCs/>
          <w:color w:val="000000"/>
          <w:sz w:val="24"/>
        </w:rPr>
      </w:pPr>
    </w:p>
    <w:p>
      <w:pPr>
        <w:rPr>
          <w:rFonts w:ascii="仿宋" w:hAnsi="仿宋" w:eastAsia="仿宋"/>
          <w:color w:val="000000"/>
          <w:sz w:val="24"/>
        </w:rPr>
      </w:pPr>
      <w:r>
        <w:rPr>
          <w:rFonts w:hint="eastAsia" w:ascii="仿宋" w:hAnsi="仿宋" w:eastAsia="仿宋"/>
          <w:b/>
          <w:bCs/>
          <w:color w:val="000000"/>
          <w:sz w:val="24"/>
        </w:rPr>
        <w:t>2</w:t>
      </w:r>
      <w:r>
        <w:rPr>
          <w:rFonts w:hint="eastAsia" w:ascii="仿宋" w:hAnsi="仿宋" w:eastAsia="仿宋"/>
          <w:b/>
          <w:bCs/>
          <w:color w:val="4F81BD" w:themeColor="accent1"/>
          <w:sz w:val="24"/>
        </w:rPr>
        <w:t>.3项目总工要求:</w:t>
      </w:r>
      <w:r>
        <w:rPr>
          <w:rFonts w:hint="eastAsia" w:ascii="仿宋" w:hAnsi="仿宋" w:eastAsia="仿宋"/>
          <w:b/>
          <w:bCs/>
          <w:color w:val="4F81BD" w:themeColor="accent1"/>
          <w:sz w:val="24"/>
          <w:u w:val="single"/>
        </w:rPr>
        <w:t>招标人根据需要自行约定。</w:t>
      </w:r>
    </w:p>
    <w:permEnd w:id="5"/>
    <w:p>
      <w:pPr>
        <w:rPr>
          <w:rFonts w:ascii="仿宋" w:hAnsi="仿宋" w:eastAsia="仿宋"/>
          <w:b/>
          <w:color w:val="000000"/>
          <w:sz w:val="24"/>
        </w:rPr>
      </w:pPr>
    </w:p>
    <w:p>
      <w:pPr>
        <w:rPr>
          <w:rFonts w:ascii="仿宋" w:hAnsi="仿宋" w:eastAsia="仿宋"/>
          <w:b/>
          <w:color w:val="000000"/>
          <w:sz w:val="24"/>
        </w:rPr>
      </w:pPr>
      <w:r>
        <w:rPr>
          <w:rFonts w:hint="eastAsia" w:ascii="仿宋" w:hAnsi="仿宋" w:eastAsia="仿宋"/>
          <w:b/>
          <w:color w:val="000000"/>
          <w:sz w:val="24"/>
        </w:rPr>
        <w:t>2.</w:t>
      </w:r>
      <w:r>
        <w:rPr>
          <w:rFonts w:ascii="仿宋" w:hAnsi="仿宋" w:eastAsia="仿宋"/>
          <w:b/>
          <w:color w:val="000000"/>
          <w:sz w:val="24"/>
        </w:rPr>
        <w:t>4</w:t>
      </w:r>
      <w:r>
        <w:rPr>
          <w:rFonts w:hint="eastAsia" w:ascii="仿宋" w:hAnsi="仿宋" w:eastAsia="仿宋"/>
          <w:b/>
          <w:color w:val="000000"/>
          <w:sz w:val="24"/>
        </w:rPr>
        <w:t>信用要求：</w:t>
      </w:r>
    </w:p>
    <w:p>
      <w:pPr>
        <w:rPr>
          <w:rFonts w:ascii="仿宋" w:hAnsi="仿宋" w:eastAsia="仿宋"/>
          <w:b/>
          <w:color w:val="000000"/>
          <w:sz w:val="24"/>
        </w:rPr>
      </w:pPr>
      <w:r>
        <w:rPr>
          <w:rFonts w:hint="eastAsia" w:ascii="仿宋" w:hAnsi="仿宋" w:eastAsia="仿宋"/>
          <w:b/>
          <w:color w:val="000000"/>
          <w:sz w:val="24"/>
        </w:rPr>
        <w:t xml:space="preserve"> 投标人须符合下列情形之一：</w:t>
      </w:r>
    </w:p>
    <w:p>
      <w:pPr>
        <w:adjustRightInd w:val="0"/>
        <w:snapToGrid w:val="0"/>
        <w:rPr>
          <w:rFonts w:ascii="仿宋" w:hAnsi="仿宋" w:eastAsia="仿宋"/>
          <w:color w:val="000000"/>
          <w:sz w:val="24"/>
        </w:rPr>
      </w:pPr>
      <w:r>
        <w:rPr>
          <w:rFonts w:hint="eastAsia" w:ascii="仿宋" w:hAnsi="仿宋" w:eastAsia="仿宋"/>
          <w:color w:val="000000"/>
          <w:sz w:val="24"/>
        </w:rPr>
        <w:t>（1）开标前两年内未被蚌埠市公共资源局记不良行为记录或记不良行为记录累计未满10分的；</w:t>
      </w:r>
    </w:p>
    <w:p>
      <w:pPr>
        <w:adjustRightInd w:val="0"/>
        <w:snapToGrid w:val="0"/>
        <w:rPr>
          <w:rFonts w:ascii="仿宋" w:hAnsi="仿宋" w:eastAsia="仿宋"/>
          <w:color w:val="000000"/>
          <w:sz w:val="24"/>
        </w:rPr>
      </w:pPr>
      <w:r>
        <w:rPr>
          <w:rFonts w:hint="eastAsia" w:ascii="仿宋" w:hAnsi="仿宋" w:eastAsia="仿宋"/>
          <w:color w:val="000000"/>
          <w:sz w:val="24"/>
        </w:rPr>
        <w:t>（2）最近一次被蚌埠市公共资源局记不良行为记录累计达10分（含10分）到15分且公布日距开标日超过6个月；</w:t>
      </w:r>
    </w:p>
    <w:p>
      <w:pPr>
        <w:adjustRightInd w:val="0"/>
        <w:snapToGrid w:val="0"/>
        <w:rPr>
          <w:rFonts w:ascii="仿宋" w:hAnsi="仿宋" w:eastAsia="仿宋"/>
          <w:color w:val="000000"/>
          <w:sz w:val="24"/>
        </w:rPr>
      </w:pPr>
      <w:r>
        <w:rPr>
          <w:rFonts w:hint="eastAsia" w:ascii="仿宋" w:hAnsi="仿宋" w:eastAsia="仿宋"/>
          <w:color w:val="000000"/>
          <w:sz w:val="24"/>
        </w:rPr>
        <w:t>（3）最近一次被蚌埠市公共资源局记不良行为记录累计达15分（含15分）到20分且公布日距开标日超过12个月；</w:t>
      </w:r>
    </w:p>
    <w:p>
      <w:pPr>
        <w:adjustRightInd w:val="0"/>
        <w:snapToGrid w:val="0"/>
        <w:rPr>
          <w:rFonts w:ascii="仿宋" w:hAnsi="仿宋" w:eastAsia="仿宋"/>
          <w:color w:val="000000"/>
          <w:sz w:val="24"/>
        </w:rPr>
      </w:pPr>
      <w:r>
        <w:rPr>
          <w:rFonts w:hint="eastAsia" w:ascii="仿宋" w:hAnsi="仿宋" w:eastAsia="仿宋"/>
          <w:color w:val="000000"/>
          <w:sz w:val="24"/>
        </w:rPr>
        <w:t>（4）最近一次被蚌埠市公共资源局记不良行为记录累计及达20分（含20分）及以上且公布日距开标日超过24个月；</w:t>
      </w:r>
    </w:p>
    <w:p>
      <w:pPr>
        <w:tabs>
          <w:tab w:val="left" w:pos="315"/>
          <w:tab w:val="left" w:pos="8820"/>
        </w:tabs>
        <w:snapToGrid w:val="0"/>
        <w:ind w:right="267" w:rightChars="127"/>
        <w:rPr>
          <w:rFonts w:ascii="仿宋" w:hAnsi="仿宋" w:eastAsia="仿宋"/>
          <w:b/>
          <w:color w:val="000000"/>
          <w:sz w:val="24"/>
        </w:rPr>
      </w:pPr>
    </w:p>
    <w:p>
      <w:pPr>
        <w:tabs>
          <w:tab w:val="left" w:pos="315"/>
          <w:tab w:val="left" w:pos="8820"/>
        </w:tabs>
        <w:snapToGrid w:val="0"/>
        <w:ind w:right="267" w:rightChars="127"/>
        <w:rPr>
          <w:rFonts w:ascii="仿宋" w:hAnsi="仿宋" w:eastAsia="仿宋"/>
          <w:color w:val="000000"/>
          <w:sz w:val="24"/>
        </w:rPr>
      </w:pPr>
      <w:r>
        <w:rPr>
          <w:rFonts w:hint="eastAsia" w:ascii="仿宋" w:hAnsi="仿宋" w:eastAsia="仿宋"/>
          <w:b/>
          <w:color w:val="000000"/>
          <w:sz w:val="24"/>
        </w:rPr>
        <w:t>2.</w:t>
      </w:r>
      <w:r>
        <w:rPr>
          <w:rFonts w:ascii="仿宋" w:hAnsi="仿宋" w:eastAsia="仿宋"/>
          <w:b/>
          <w:color w:val="000000"/>
          <w:sz w:val="24"/>
        </w:rPr>
        <w:t>5</w:t>
      </w:r>
      <w:r>
        <w:rPr>
          <w:rFonts w:hint="eastAsia" w:ascii="仿宋" w:hAnsi="仿宋" w:eastAsia="仿宋"/>
          <w:b/>
          <w:color w:val="000000"/>
          <w:sz w:val="24"/>
        </w:rPr>
        <w:t>联合体投标</w:t>
      </w:r>
      <w:r>
        <w:rPr>
          <w:rFonts w:hint="eastAsia" w:ascii="仿宋" w:hAnsi="仿宋" w:eastAsia="仿宋"/>
          <w:color w:val="000000"/>
          <w:sz w:val="24"/>
        </w:rPr>
        <w:t>：本项目</w:t>
      </w:r>
      <w:permStart w:id="6" w:edGrp="everyone"/>
      <w:r>
        <w:rPr>
          <w:rFonts w:hint="eastAsia" w:ascii="仿宋" w:hAnsi="仿宋" w:eastAsia="仿宋"/>
          <w:color w:val="000000"/>
          <w:sz w:val="24"/>
          <w:u w:val="single"/>
        </w:rPr>
        <w:t>接受/不接受 （原则上接受联合体投标，不接受联合体投标的，应详细说明情况）</w:t>
      </w:r>
      <w:permEnd w:id="6"/>
    </w:p>
    <w:p>
      <w:pPr>
        <w:tabs>
          <w:tab w:val="left" w:pos="315"/>
          <w:tab w:val="left" w:pos="8820"/>
        </w:tabs>
        <w:snapToGrid w:val="0"/>
        <w:ind w:right="267" w:rightChars="127"/>
        <w:rPr>
          <w:rFonts w:ascii="仿宋" w:hAnsi="仿宋" w:eastAsia="仿宋"/>
          <w:b/>
          <w:color w:val="000000"/>
          <w:sz w:val="24"/>
        </w:rPr>
      </w:pPr>
    </w:p>
    <w:p>
      <w:pPr>
        <w:tabs>
          <w:tab w:val="left" w:pos="315"/>
          <w:tab w:val="left" w:pos="8820"/>
        </w:tabs>
        <w:snapToGrid w:val="0"/>
        <w:ind w:right="267" w:rightChars="127"/>
        <w:rPr>
          <w:rFonts w:ascii="仿宋" w:hAnsi="仿宋" w:eastAsia="仿宋"/>
          <w:strike/>
          <w:color w:val="000000"/>
          <w:sz w:val="24"/>
        </w:rPr>
      </w:pPr>
      <w:r>
        <w:rPr>
          <w:rFonts w:hint="eastAsia" w:ascii="仿宋" w:hAnsi="仿宋" w:eastAsia="仿宋"/>
          <w:b/>
          <w:color w:val="000000"/>
          <w:sz w:val="24"/>
        </w:rPr>
        <w:t>2.</w:t>
      </w:r>
      <w:r>
        <w:rPr>
          <w:rFonts w:ascii="仿宋" w:hAnsi="仿宋" w:eastAsia="仿宋"/>
          <w:b/>
          <w:color w:val="000000"/>
          <w:sz w:val="24"/>
        </w:rPr>
        <w:t>6</w:t>
      </w:r>
      <w:r>
        <w:rPr>
          <w:rFonts w:hint="eastAsia" w:ascii="仿宋" w:hAnsi="仿宋" w:eastAsia="仿宋"/>
          <w:b/>
          <w:color w:val="000000"/>
          <w:sz w:val="24"/>
        </w:rPr>
        <w:t>资格审查方式：</w:t>
      </w:r>
      <w:r>
        <w:rPr>
          <w:rFonts w:hint="eastAsia" w:ascii="仿宋" w:hAnsi="仿宋" w:eastAsia="仿宋"/>
          <w:color w:val="000000"/>
          <w:sz w:val="24"/>
        </w:rPr>
        <w:t>资格后审。</w:t>
      </w:r>
    </w:p>
    <w:p>
      <w:pPr>
        <w:tabs>
          <w:tab w:val="left" w:pos="315"/>
          <w:tab w:val="left" w:pos="8820"/>
        </w:tabs>
        <w:snapToGrid w:val="0"/>
        <w:ind w:right="267" w:rightChars="127"/>
        <w:rPr>
          <w:rFonts w:ascii="黑体" w:hAnsi="黑体" w:eastAsia="黑体"/>
          <w:color w:val="000000"/>
          <w:sz w:val="24"/>
        </w:rPr>
      </w:pPr>
    </w:p>
    <w:p>
      <w:pPr>
        <w:tabs>
          <w:tab w:val="left" w:pos="315"/>
          <w:tab w:val="left" w:pos="8820"/>
        </w:tabs>
        <w:snapToGrid w:val="0"/>
        <w:ind w:right="267" w:rightChars="127"/>
        <w:rPr>
          <w:rFonts w:ascii="黑体" w:hAnsi="黑体" w:eastAsia="黑体"/>
          <w:color w:val="000000"/>
          <w:sz w:val="24"/>
        </w:rPr>
      </w:pPr>
      <w:r>
        <w:rPr>
          <w:rFonts w:hint="eastAsia" w:ascii="黑体" w:hAnsi="黑体" w:eastAsia="黑体"/>
          <w:color w:val="000000"/>
          <w:sz w:val="24"/>
        </w:rPr>
        <w:t>3、招标文件获取时间及方式</w:t>
      </w:r>
    </w:p>
    <w:p>
      <w:pPr>
        <w:adjustRightInd w:val="0"/>
        <w:snapToGrid w:val="0"/>
        <w:rPr>
          <w:rFonts w:ascii="仿宋" w:hAnsi="仿宋" w:eastAsia="仿宋"/>
          <w:color w:val="000000"/>
          <w:sz w:val="24"/>
        </w:rPr>
      </w:pPr>
      <w:r>
        <w:rPr>
          <w:rFonts w:hint="eastAsia" w:ascii="仿宋" w:hAnsi="仿宋" w:eastAsia="仿宋"/>
          <w:color w:val="000000"/>
          <w:sz w:val="24"/>
        </w:rPr>
        <w:t>3.1、下载时间：</w:t>
      </w:r>
      <w:permStart w:id="7" w:edGrp="everyone"/>
      <w:r>
        <w:rPr>
          <w:rFonts w:hint="eastAsia" w:ascii="仿宋" w:hAnsi="仿宋" w:eastAsia="仿宋"/>
          <w:color w:val="000000"/>
          <w:sz w:val="24"/>
          <w:u w:val="single"/>
        </w:rPr>
        <w:t xml:space="preserve">  年 月 日 </w:t>
      </w:r>
      <w:permEnd w:id="7"/>
      <w:r>
        <w:rPr>
          <w:rFonts w:hint="eastAsia" w:ascii="仿宋" w:hAnsi="仿宋" w:eastAsia="仿宋"/>
          <w:color w:val="000000"/>
          <w:sz w:val="24"/>
        </w:rPr>
        <w:t>以后</w:t>
      </w:r>
    </w:p>
    <w:p>
      <w:pPr>
        <w:adjustRightInd w:val="0"/>
        <w:snapToGrid w:val="0"/>
        <w:rPr>
          <w:rFonts w:ascii="仿宋" w:hAnsi="仿宋" w:eastAsia="仿宋"/>
          <w:color w:val="000000"/>
          <w:sz w:val="24"/>
          <w:u w:val="single"/>
        </w:rPr>
      </w:pPr>
      <w:r>
        <w:rPr>
          <w:rFonts w:hint="eastAsia" w:ascii="仿宋" w:hAnsi="仿宋" w:eastAsia="仿宋"/>
          <w:color w:val="000000"/>
          <w:sz w:val="24"/>
        </w:rPr>
        <w:t>3.2、下载地址：蚌埠市公共资源交易中心网站</w:t>
      </w:r>
      <w:r>
        <w:fldChar w:fldCharType="begin"/>
      </w:r>
      <w:r>
        <w:instrText xml:space="preserve"> HYPERLINK "http://www.bbztb.cn" </w:instrText>
      </w:r>
      <w:r>
        <w:fldChar w:fldCharType="separate"/>
      </w:r>
      <w:r>
        <w:rPr>
          <w:rFonts w:ascii="仿宋" w:hAnsi="仿宋" w:eastAsia="仿宋"/>
          <w:color w:val="000000"/>
          <w:sz w:val="24"/>
        </w:rPr>
        <w:t>http://ggzy.bengbu.gov.cn</w:t>
      </w:r>
      <w:r>
        <w:rPr>
          <w:rFonts w:ascii="仿宋" w:hAnsi="仿宋" w:eastAsia="仿宋"/>
          <w:color w:val="000000"/>
          <w:sz w:val="24"/>
        </w:rPr>
        <w:fldChar w:fldCharType="end"/>
      </w:r>
    </w:p>
    <w:p>
      <w:pPr>
        <w:adjustRightInd w:val="0"/>
        <w:snapToGrid w:val="0"/>
        <w:ind w:firstLine="480" w:firstLineChars="200"/>
        <w:rPr>
          <w:rFonts w:ascii="仿宋" w:hAnsi="仿宋" w:eastAsia="仿宋"/>
          <w:color w:val="000000"/>
          <w:sz w:val="24"/>
        </w:rPr>
      </w:pPr>
      <w:r>
        <w:rPr>
          <w:rFonts w:hint="eastAsia" w:ascii="仿宋" w:hAnsi="仿宋" w:eastAsia="仿宋"/>
          <w:color w:val="000000"/>
          <w:sz w:val="24"/>
        </w:rPr>
        <w:t>投标人投标前在“</w:t>
      </w:r>
      <w:r>
        <w:rPr>
          <w:rFonts w:ascii="仿宋" w:hAnsi="仿宋" w:eastAsia="仿宋"/>
          <w:color w:val="000000"/>
          <w:sz w:val="24"/>
        </w:rPr>
        <w:t>蚌埠市公共资源交易中心网站</w:t>
      </w:r>
      <w:r>
        <w:rPr>
          <w:rFonts w:hint="eastAsia" w:ascii="仿宋" w:hAnsi="仿宋" w:eastAsia="仿宋"/>
          <w:color w:val="000000"/>
          <w:sz w:val="24"/>
        </w:rPr>
        <w:t>”注册登记，并通过验证后；登录“</w:t>
      </w:r>
      <w:r>
        <w:fldChar w:fldCharType="begin"/>
      </w:r>
      <w:r>
        <w:instrText xml:space="preserve"> HYPERLINK "http://www.bbztb.cn" </w:instrText>
      </w:r>
      <w:r>
        <w:fldChar w:fldCharType="separate"/>
      </w:r>
      <w:r>
        <w:rPr>
          <w:rFonts w:ascii="仿宋" w:hAnsi="仿宋" w:eastAsia="仿宋"/>
          <w:color w:val="000000"/>
          <w:sz w:val="24"/>
        </w:rPr>
        <w:t>http://ggzy.bengbu.gov.cn</w:t>
      </w:r>
      <w:r>
        <w:rPr>
          <w:rFonts w:ascii="仿宋" w:hAnsi="仿宋" w:eastAsia="仿宋"/>
          <w:color w:val="000000"/>
          <w:sz w:val="24"/>
        </w:rPr>
        <w:fldChar w:fldCharType="end"/>
      </w:r>
      <w:r>
        <w:rPr>
          <w:rFonts w:hint="eastAsia" w:ascii="仿宋" w:hAnsi="仿宋" w:eastAsia="仿宋"/>
          <w:color w:val="000000"/>
          <w:sz w:val="24"/>
        </w:rPr>
        <w:t>”，点击 “投标人登录”，进入蚌埠公共资源交易系统，查阅下载相关文件。投标人如不及时下载，后果自负。</w:t>
      </w:r>
    </w:p>
    <w:p>
      <w:pPr>
        <w:tabs>
          <w:tab w:val="left" w:pos="315"/>
          <w:tab w:val="left" w:pos="8820"/>
        </w:tabs>
        <w:snapToGrid w:val="0"/>
        <w:ind w:right="267" w:rightChars="127"/>
        <w:rPr>
          <w:rFonts w:ascii="仿宋" w:hAnsi="仿宋" w:eastAsia="仿宋"/>
          <w:color w:val="000000"/>
          <w:sz w:val="24"/>
        </w:rPr>
      </w:pPr>
    </w:p>
    <w:p>
      <w:pPr>
        <w:tabs>
          <w:tab w:val="left" w:pos="315"/>
          <w:tab w:val="left" w:pos="8820"/>
        </w:tabs>
        <w:snapToGrid w:val="0"/>
        <w:ind w:right="267" w:rightChars="127"/>
        <w:rPr>
          <w:rFonts w:ascii="黑体" w:hAnsi="黑体" w:eastAsia="黑体"/>
          <w:color w:val="000000"/>
          <w:sz w:val="24"/>
        </w:rPr>
      </w:pPr>
      <w:r>
        <w:rPr>
          <w:rFonts w:hint="eastAsia" w:ascii="黑体" w:hAnsi="黑体" w:eastAsia="黑体"/>
          <w:color w:val="000000"/>
          <w:sz w:val="24"/>
        </w:rPr>
        <w:t>4、公告发布时间、开标时间及地点、递交投标文件的截止时间及方式</w:t>
      </w:r>
    </w:p>
    <w:p>
      <w:pPr>
        <w:adjustRightInd w:val="0"/>
        <w:snapToGrid w:val="0"/>
        <w:rPr>
          <w:rFonts w:ascii="仿宋" w:hAnsi="仿宋" w:eastAsia="仿宋"/>
          <w:color w:val="000000"/>
          <w:sz w:val="24"/>
        </w:rPr>
      </w:pPr>
      <w:r>
        <w:rPr>
          <w:rFonts w:hint="eastAsia" w:ascii="仿宋" w:hAnsi="仿宋" w:eastAsia="仿宋"/>
          <w:color w:val="000000"/>
          <w:sz w:val="24"/>
        </w:rPr>
        <w:t>4.1公告发布时间：</w:t>
      </w:r>
      <w:permStart w:id="8" w:edGrp="everyone"/>
      <w:r>
        <w:rPr>
          <w:rFonts w:hint="eastAsia" w:ascii="仿宋" w:hAnsi="仿宋" w:eastAsia="仿宋"/>
          <w:color w:val="000000"/>
          <w:sz w:val="24"/>
        </w:rPr>
        <w:t xml:space="preserve"> </w:t>
      </w:r>
      <w:r>
        <w:rPr>
          <w:rFonts w:hint="eastAsia" w:ascii="仿宋" w:hAnsi="仿宋" w:eastAsia="仿宋"/>
          <w:color w:val="000000"/>
          <w:sz w:val="24"/>
          <w:u w:val="single"/>
        </w:rPr>
        <w:t xml:space="preserve">    年 月 日 </w:t>
      </w:r>
      <w:permEnd w:id="8"/>
    </w:p>
    <w:p>
      <w:pPr>
        <w:adjustRightInd w:val="0"/>
        <w:snapToGrid w:val="0"/>
        <w:rPr>
          <w:rFonts w:ascii="仿宋" w:hAnsi="仿宋" w:eastAsia="仿宋"/>
          <w:color w:val="000000"/>
          <w:sz w:val="24"/>
        </w:rPr>
      </w:pPr>
      <w:r>
        <w:rPr>
          <w:rFonts w:hint="eastAsia" w:ascii="仿宋" w:hAnsi="仿宋" w:eastAsia="仿宋"/>
          <w:color w:val="000000"/>
          <w:sz w:val="24"/>
        </w:rPr>
        <w:t>4.2开标时间：</w:t>
      </w:r>
      <w:permStart w:id="9" w:edGrp="everyone"/>
      <w:r>
        <w:rPr>
          <w:rFonts w:hint="eastAsia" w:ascii="仿宋" w:hAnsi="仿宋" w:eastAsia="仿宋"/>
          <w:color w:val="000000"/>
          <w:sz w:val="24"/>
        </w:rPr>
        <w:t xml:space="preserve"> </w:t>
      </w:r>
      <w:r>
        <w:rPr>
          <w:rFonts w:hint="eastAsia" w:ascii="仿宋" w:hAnsi="仿宋" w:eastAsia="仿宋"/>
          <w:color w:val="000000"/>
          <w:sz w:val="24"/>
          <w:u w:val="single"/>
        </w:rPr>
        <w:t xml:space="preserve">   年 月 日 时 分</w:t>
      </w:r>
      <w:permEnd w:id="9"/>
    </w:p>
    <w:p>
      <w:pPr>
        <w:adjustRightInd w:val="0"/>
        <w:snapToGrid w:val="0"/>
        <w:rPr>
          <w:rFonts w:ascii="仿宋" w:hAnsi="仿宋" w:eastAsia="仿宋"/>
          <w:color w:val="000000"/>
          <w:sz w:val="24"/>
        </w:rPr>
      </w:pPr>
      <w:r>
        <w:rPr>
          <w:rFonts w:hint="eastAsia" w:ascii="仿宋" w:hAnsi="仿宋" w:eastAsia="仿宋"/>
          <w:color w:val="000000"/>
          <w:sz w:val="24"/>
        </w:rPr>
        <w:t>4.3开标地点：</w:t>
      </w:r>
      <w:permStart w:id="10" w:edGrp="everyone"/>
      <w:r>
        <w:rPr>
          <w:rFonts w:hint="eastAsia" w:hAnsi="宋体" w:cs="宋体"/>
          <w:sz w:val="24"/>
          <w:u w:val="single"/>
          <w:shd w:val="pct10" w:color="auto" w:fill="FFFFFF"/>
        </w:rPr>
        <w:t> </w:t>
      </w:r>
      <w:r>
        <w:rPr>
          <w:rFonts w:hAnsi="宋体" w:cs="宋体"/>
          <w:sz w:val="24"/>
          <w:u w:val="single"/>
          <w:shd w:val="pct10" w:color="auto" w:fill="FFFFFF"/>
        </w:rPr>
        <w:t xml:space="preserve">            </w:t>
      </w:r>
      <w:r>
        <w:rPr>
          <w:rFonts w:hint="eastAsia" w:hAnsi="宋体" w:cs="宋体"/>
          <w:sz w:val="24"/>
          <w:u w:val="single"/>
          <w:shd w:val="pct10" w:color="auto" w:fill="FFFFFF"/>
        </w:rPr>
        <w:t>  </w:t>
      </w:r>
      <w:permEnd w:id="10"/>
    </w:p>
    <w:p>
      <w:pPr>
        <w:adjustRightInd w:val="0"/>
        <w:snapToGrid w:val="0"/>
        <w:rPr>
          <w:rFonts w:ascii="宋体" w:hAnsi="宋体"/>
          <w:color w:val="000000"/>
          <w:sz w:val="24"/>
          <w:u w:val="single"/>
        </w:rPr>
      </w:pPr>
      <w:r>
        <w:rPr>
          <w:rFonts w:hint="eastAsia" w:ascii="仿宋" w:hAnsi="仿宋" w:eastAsia="仿宋"/>
          <w:color w:val="000000"/>
          <w:sz w:val="24"/>
        </w:rPr>
        <w:t>4.4递交投标文件的截止时间：</w:t>
      </w:r>
      <w:permStart w:id="11" w:edGrp="everyone"/>
      <w:r>
        <w:rPr>
          <w:rFonts w:hint="eastAsia" w:ascii="宋体" w:hAnsi="宋体"/>
          <w:color w:val="000000"/>
          <w:sz w:val="24"/>
        </w:rPr>
        <w:t xml:space="preserve"> </w:t>
      </w:r>
      <w:r>
        <w:rPr>
          <w:rFonts w:hint="eastAsia" w:ascii="宋体" w:hAnsi="宋体"/>
          <w:color w:val="000000"/>
          <w:sz w:val="24"/>
          <w:u w:val="single"/>
        </w:rPr>
        <w:t xml:space="preserve">             </w:t>
      </w:r>
      <w:permEnd w:id="11"/>
    </w:p>
    <w:p>
      <w:pPr>
        <w:adjustRightInd w:val="0"/>
        <w:snapToGrid w:val="0"/>
        <w:rPr>
          <w:rFonts w:ascii="宋体" w:hAnsi="宋体"/>
          <w:color w:val="000000"/>
          <w:sz w:val="24"/>
          <w:u w:val="single"/>
        </w:rPr>
      </w:pPr>
      <w:r>
        <w:rPr>
          <w:rFonts w:hint="eastAsia" w:ascii="仿宋" w:hAnsi="仿宋" w:eastAsia="仿宋"/>
          <w:color w:val="000000"/>
          <w:sz w:val="24"/>
        </w:rPr>
        <w:t>4.5递交投标文件的方式：</w:t>
      </w:r>
      <w:permStart w:id="12" w:edGrp="everyone"/>
      <w:r>
        <w:rPr>
          <w:rFonts w:hint="eastAsia" w:ascii="宋体" w:hAnsi="宋体"/>
          <w:color w:val="000000"/>
          <w:sz w:val="24"/>
          <w:u w:val="single"/>
        </w:rPr>
        <w:t xml:space="preserve">                  </w:t>
      </w:r>
      <w:permEnd w:id="12"/>
    </w:p>
    <w:p>
      <w:pPr>
        <w:adjustRightInd w:val="0"/>
        <w:snapToGrid w:val="0"/>
        <w:jc w:val="left"/>
        <w:rPr>
          <w:rFonts w:ascii="仿宋" w:hAnsi="仿宋" w:eastAsia="仿宋"/>
          <w:color w:val="000000"/>
          <w:sz w:val="24"/>
        </w:rPr>
      </w:pPr>
    </w:p>
    <w:p>
      <w:pPr>
        <w:adjustRightInd w:val="0"/>
        <w:snapToGrid w:val="0"/>
        <w:jc w:val="left"/>
        <w:rPr>
          <w:rFonts w:ascii="黑体" w:hAnsi="黑体" w:eastAsia="黑体"/>
          <w:color w:val="000000"/>
          <w:sz w:val="24"/>
        </w:rPr>
      </w:pPr>
      <w:r>
        <w:rPr>
          <w:rFonts w:hint="eastAsia" w:ascii="黑体" w:hAnsi="黑体" w:eastAsia="黑体"/>
          <w:color w:val="000000"/>
          <w:sz w:val="24"/>
        </w:rPr>
        <w:t>5、其他事项说明</w:t>
      </w:r>
    </w:p>
    <w:p>
      <w:pPr>
        <w:pStyle w:val="26"/>
        <w:rPr>
          <w:rFonts w:ascii="仿宋" w:hAnsi="仿宋" w:eastAsia="仿宋"/>
          <w:sz w:val="24"/>
          <w:shd w:val="pct10" w:color="auto" w:fill="FFFFFF"/>
        </w:rPr>
      </w:pPr>
      <w:permStart w:id="13" w:edGrp="everyone"/>
      <w:r>
        <w:rPr>
          <w:rFonts w:hint="eastAsia" w:ascii="仿宋" w:hAnsi="仿宋" w:eastAsia="仿宋"/>
          <w:sz w:val="24"/>
          <w:shd w:val="pct10" w:color="auto" w:fill="FFFFFF"/>
        </w:rPr>
        <w:t>5.</w:t>
      </w:r>
      <w:r>
        <w:rPr>
          <w:rFonts w:ascii="仿宋" w:hAnsi="仿宋" w:eastAsia="仿宋"/>
          <w:sz w:val="24"/>
          <w:shd w:val="pct10" w:color="auto" w:fill="FFFFFF"/>
        </w:rPr>
        <w:t>1、投标保证金</w:t>
      </w:r>
      <w:r>
        <w:rPr>
          <w:rFonts w:hint="eastAsia" w:ascii="仿宋" w:hAnsi="仿宋" w:eastAsia="仿宋"/>
          <w:sz w:val="24"/>
          <w:shd w:val="pct10" w:color="auto" w:fill="FFFFFF"/>
          <w:lang w:eastAsia="zh-CN"/>
        </w:rPr>
        <w:t>（转账方式）</w:t>
      </w:r>
      <w:r>
        <w:rPr>
          <w:rFonts w:ascii="仿宋" w:hAnsi="仿宋" w:eastAsia="仿宋"/>
          <w:sz w:val="24"/>
          <w:shd w:val="pct10" w:color="auto" w:fill="FFFFFF"/>
        </w:rPr>
        <w:t>必须从投标人基本账户转出，否则</w:t>
      </w:r>
      <w:r>
        <w:rPr>
          <w:rFonts w:hint="eastAsia" w:ascii="仿宋" w:hAnsi="仿宋" w:eastAsia="仿宋"/>
          <w:sz w:val="24"/>
          <w:shd w:val="pct10" w:color="auto" w:fill="FFFFFF"/>
        </w:rPr>
        <w:t>其</w:t>
      </w:r>
      <w:r>
        <w:rPr>
          <w:rFonts w:ascii="仿宋" w:hAnsi="仿宋" w:eastAsia="仿宋"/>
          <w:sz w:val="24"/>
          <w:shd w:val="pct10" w:color="auto" w:fill="FFFFFF"/>
        </w:rPr>
        <w:t>投标</w:t>
      </w:r>
      <w:r>
        <w:rPr>
          <w:rFonts w:hint="eastAsia" w:ascii="仿宋" w:hAnsi="仿宋" w:eastAsia="仿宋"/>
          <w:sz w:val="24"/>
          <w:shd w:val="pct10" w:color="auto" w:fill="FFFFFF"/>
        </w:rPr>
        <w:t>文件将被否决</w:t>
      </w:r>
      <w:r>
        <w:rPr>
          <w:rFonts w:ascii="仿宋" w:hAnsi="仿宋" w:eastAsia="仿宋"/>
          <w:sz w:val="24"/>
          <w:shd w:val="pct10" w:color="auto" w:fill="FFFFFF"/>
        </w:rPr>
        <w:t>。</w:t>
      </w:r>
      <w:r>
        <w:rPr>
          <w:rFonts w:ascii="仿宋" w:hAnsi="仿宋" w:eastAsia="仿宋"/>
          <w:sz w:val="24"/>
          <w:shd w:val="pct10" w:color="auto" w:fill="FFFFFF"/>
        </w:rPr>
        <w:br w:type="textWrapping"/>
      </w:r>
      <w:r>
        <w:rPr>
          <w:rFonts w:hint="eastAsia" w:ascii="仿宋" w:hAnsi="仿宋" w:eastAsia="仿宋"/>
          <w:sz w:val="24"/>
          <w:shd w:val="pct10" w:color="auto" w:fill="FFFFFF"/>
        </w:rPr>
        <w:t>5.</w:t>
      </w:r>
      <w:r>
        <w:rPr>
          <w:rFonts w:ascii="仿宋" w:hAnsi="仿宋" w:eastAsia="仿宋"/>
          <w:sz w:val="24"/>
          <w:shd w:val="pct10" w:color="auto" w:fill="FFFFFF"/>
        </w:rPr>
        <w:t>2、</w:t>
      </w:r>
      <w:r>
        <w:rPr>
          <w:rFonts w:hint="eastAsia" w:ascii="仿宋" w:hAnsi="仿宋" w:eastAsia="仿宋"/>
          <w:sz w:val="24"/>
          <w:shd w:val="pct10" w:color="auto" w:fill="FFFFFF"/>
        </w:rPr>
        <w:t>招标</w:t>
      </w:r>
      <w:r>
        <w:rPr>
          <w:rFonts w:ascii="仿宋" w:hAnsi="仿宋" w:eastAsia="仿宋"/>
          <w:sz w:val="24"/>
          <w:shd w:val="pct10" w:color="auto" w:fill="FFFFFF"/>
        </w:rPr>
        <w:t>文件费用：每套人民币500元，以电子档形式出售，售后不退。</w:t>
      </w:r>
      <w:r>
        <w:rPr>
          <w:rFonts w:hint="eastAsia" w:ascii="仿宋" w:hAnsi="仿宋" w:eastAsia="仿宋"/>
          <w:sz w:val="24"/>
          <w:shd w:val="pct10" w:color="auto" w:fill="FFFFFF"/>
        </w:rPr>
        <w:t>招标</w:t>
      </w:r>
      <w:r>
        <w:rPr>
          <w:rFonts w:ascii="仿宋" w:hAnsi="仿宋" w:eastAsia="仿宋"/>
          <w:sz w:val="24"/>
          <w:shd w:val="pct10" w:color="auto" w:fill="FFFFFF"/>
        </w:rPr>
        <w:t>文件费用采用网上支付，在上传</w:t>
      </w:r>
      <w:r>
        <w:rPr>
          <w:rFonts w:hint="eastAsia" w:ascii="仿宋" w:hAnsi="仿宋" w:eastAsia="仿宋"/>
          <w:sz w:val="24"/>
          <w:shd w:val="pct10" w:color="auto" w:fill="FFFFFF"/>
        </w:rPr>
        <w:t>投标（报价）</w:t>
      </w:r>
      <w:r>
        <w:rPr>
          <w:rFonts w:ascii="仿宋" w:hAnsi="仿宋" w:eastAsia="仿宋"/>
          <w:sz w:val="24"/>
          <w:shd w:val="pct10" w:color="auto" w:fill="FFFFFF"/>
        </w:rPr>
        <w:t>文件页面开通网上支付渠道，系统届时会发出多次提示，提醒</w:t>
      </w:r>
      <w:r>
        <w:rPr>
          <w:rFonts w:hint="eastAsia" w:ascii="仿宋" w:hAnsi="仿宋" w:eastAsia="仿宋"/>
          <w:sz w:val="24"/>
          <w:shd w:val="pct10" w:color="auto" w:fill="FFFFFF"/>
        </w:rPr>
        <w:t>投标人（供应商）</w:t>
      </w:r>
      <w:r>
        <w:rPr>
          <w:rFonts w:ascii="仿宋" w:hAnsi="仿宋" w:eastAsia="仿宋"/>
          <w:sz w:val="24"/>
          <w:shd w:val="pct10" w:color="auto" w:fill="FFFFFF"/>
        </w:rPr>
        <w:t>进行网上支付。</w:t>
      </w:r>
      <w:r>
        <w:rPr>
          <w:rFonts w:hint="eastAsia" w:ascii="仿宋" w:hAnsi="仿宋" w:eastAsia="仿宋"/>
          <w:sz w:val="24"/>
          <w:shd w:val="pct10" w:color="auto" w:fill="FFFFFF"/>
        </w:rPr>
        <w:t>个人</w:t>
      </w:r>
      <w:r>
        <w:rPr>
          <w:rFonts w:ascii="仿宋" w:hAnsi="仿宋" w:eastAsia="仿宋"/>
          <w:sz w:val="24"/>
          <w:shd w:val="pct10" w:color="auto" w:fill="FFFFFF"/>
        </w:rPr>
        <w:t>网上银行支付、支付宝扫码支付、微信扫码支付都可以完成网上支付</w:t>
      </w:r>
      <w:r>
        <w:rPr>
          <w:rFonts w:hint="eastAsia" w:ascii="仿宋" w:hAnsi="仿宋" w:eastAsia="仿宋"/>
          <w:sz w:val="24"/>
          <w:shd w:val="pct10" w:color="auto" w:fill="FFFFFF"/>
        </w:rPr>
        <w:t>.</w:t>
      </w:r>
      <w:r>
        <w:rPr>
          <w:rFonts w:ascii="仿宋" w:hAnsi="仿宋" w:eastAsia="仿宋"/>
          <w:sz w:val="24"/>
          <w:shd w:val="pct10" w:color="auto" w:fill="FFFFFF"/>
        </w:rPr>
        <w:t>（本条只适用蚌埠市招标投标咨询服务有限公司代理的项目</w:t>
      </w:r>
      <w:r>
        <w:rPr>
          <w:rFonts w:hint="eastAsia" w:ascii="仿宋" w:hAnsi="仿宋" w:eastAsia="仿宋"/>
          <w:sz w:val="24"/>
          <w:shd w:val="pct10" w:color="auto" w:fill="FFFFFF"/>
        </w:rPr>
        <w:t>，其他代理机构招标文件费用现场缴纳。</w:t>
      </w:r>
      <w:r>
        <w:rPr>
          <w:rFonts w:ascii="仿宋" w:hAnsi="仿宋" w:eastAsia="仿宋"/>
          <w:sz w:val="24"/>
          <w:shd w:val="pct10" w:color="auto" w:fill="FFFFFF"/>
        </w:rPr>
        <w:t>）</w:t>
      </w:r>
      <w:r>
        <w:rPr>
          <w:rFonts w:ascii="仿宋" w:hAnsi="仿宋" w:eastAsia="仿宋"/>
          <w:sz w:val="24"/>
          <w:shd w:val="pct10" w:color="auto" w:fill="FFFFFF"/>
        </w:rPr>
        <w:br w:type="textWrapping"/>
      </w:r>
      <w:r>
        <w:rPr>
          <w:rFonts w:hint="eastAsia" w:ascii="仿宋" w:hAnsi="仿宋" w:eastAsia="仿宋"/>
          <w:sz w:val="24"/>
          <w:shd w:val="pct10" w:color="auto" w:fill="FFFFFF"/>
        </w:rPr>
        <w:t>5.</w:t>
      </w:r>
      <w:r>
        <w:rPr>
          <w:rFonts w:ascii="仿宋" w:hAnsi="仿宋" w:eastAsia="仿宋"/>
          <w:sz w:val="24"/>
          <w:shd w:val="pct10" w:color="auto" w:fill="FFFFFF"/>
        </w:rPr>
        <w:t>3、投标人在往投标保证金指定账户</w:t>
      </w:r>
      <w:r>
        <w:rPr>
          <w:rFonts w:hint="eastAsia" w:ascii="仿宋" w:hAnsi="仿宋" w:eastAsia="仿宋"/>
          <w:sz w:val="24"/>
          <w:shd w:val="pct10" w:color="auto" w:fill="FFFFFF"/>
          <w:lang w:eastAsia="zh-CN"/>
        </w:rPr>
        <w:t>转账方式</w:t>
      </w:r>
      <w:r>
        <w:rPr>
          <w:rFonts w:ascii="仿宋" w:hAnsi="仿宋" w:eastAsia="仿宋"/>
          <w:sz w:val="24"/>
          <w:shd w:val="pct10" w:color="auto" w:fill="FFFFFF"/>
        </w:rPr>
        <w:t>提交投标保证金时，务必要求转出银行必须在交易附言中注明</w:t>
      </w:r>
      <w:r>
        <w:rPr>
          <w:rFonts w:hint="eastAsia" w:ascii="仿宋" w:hAnsi="仿宋" w:eastAsia="仿宋"/>
          <w:sz w:val="24"/>
          <w:shd w:val="pct10" w:color="auto" w:fill="FFFFFF"/>
        </w:rPr>
        <w:t>项目编号</w:t>
      </w:r>
      <w:r>
        <w:rPr>
          <w:rFonts w:ascii="仿宋" w:hAnsi="仿宋" w:eastAsia="仿宋"/>
          <w:sz w:val="24"/>
          <w:shd w:val="pct10" w:color="auto" w:fill="FFFFFF"/>
        </w:rPr>
        <w:t>：</w:t>
      </w:r>
      <w:r>
        <w:rPr>
          <w:rFonts w:hint="eastAsia" w:hAnsi="宋体" w:cs="宋体"/>
          <w:sz w:val="24"/>
          <w:u w:val="single"/>
          <w:shd w:val="pct10" w:color="auto" w:fill="FFFFFF"/>
        </w:rPr>
        <w:t>   </w:t>
      </w:r>
      <w:r>
        <w:rPr>
          <w:rFonts w:ascii="仿宋" w:hAnsi="仿宋" w:eastAsia="仿宋"/>
          <w:sz w:val="24"/>
          <w:shd w:val="pct10" w:color="auto" w:fill="FFFFFF"/>
        </w:rPr>
        <w:t>项目投标保证金，以确保转入银行进账单中能完整反映出交易附言的内容。否则，造成无法识别投标人的交易项目时，产生的一切后果由投标人自负。</w:t>
      </w:r>
    </w:p>
    <w:p>
      <w:pPr>
        <w:adjustRightInd w:val="0"/>
        <w:snapToGrid w:val="0"/>
        <w:rPr>
          <w:rFonts w:ascii="仿宋" w:hAnsi="仿宋" w:eastAsia="仿宋"/>
          <w:sz w:val="24"/>
          <w:shd w:val="pct10" w:color="auto" w:fill="FFFFFF"/>
        </w:rPr>
      </w:pPr>
      <w:r>
        <w:rPr>
          <w:rFonts w:hint="eastAsia" w:ascii="仿宋" w:hAnsi="仿宋" w:eastAsia="仿宋"/>
          <w:sz w:val="24"/>
          <w:shd w:val="pct10" w:color="auto" w:fill="FFFFFF"/>
        </w:rPr>
        <w:t>5.4、本项目招标文件费用开票所需的纳税人识别号，以投标人注册登记时填报的统一社会信用代码为准，投标人需确保其真实有效，否则后果自负。</w:t>
      </w:r>
    </w:p>
    <w:permEnd w:id="13"/>
    <w:p>
      <w:pPr>
        <w:adjustRightInd w:val="0"/>
        <w:snapToGrid w:val="0"/>
        <w:rPr>
          <w:rFonts w:ascii="仿宋" w:hAnsi="仿宋" w:eastAsia="仿宋"/>
          <w:sz w:val="24"/>
          <w:shd w:val="pct10" w:color="auto" w:fill="FFFFFF"/>
        </w:rPr>
      </w:pPr>
      <w:r>
        <w:rPr>
          <w:rFonts w:hint="eastAsia" w:ascii="仿宋" w:hAnsi="仿宋" w:eastAsia="仿宋"/>
          <w:sz w:val="24"/>
          <w:shd w:val="pct10" w:color="auto" w:fill="FFFFFF"/>
        </w:rPr>
        <w:t>5.5、特别说明：项目开标时，投标人在互联网上参与开标，无须委派被授权人（委托代理人）参加现场开标，不需现场递交投标资料。</w:t>
      </w:r>
    </w:p>
    <w:p>
      <w:pPr>
        <w:adjustRightInd w:val="0"/>
        <w:snapToGrid w:val="0"/>
        <w:rPr>
          <w:rFonts w:ascii="仿宋" w:hAnsi="仿宋" w:eastAsia="仿宋"/>
          <w:color w:val="000000"/>
          <w:sz w:val="24"/>
        </w:rPr>
      </w:pPr>
    </w:p>
    <w:p>
      <w:pPr>
        <w:adjustRightInd w:val="0"/>
        <w:snapToGrid w:val="0"/>
        <w:rPr>
          <w:rFonts w:ascii="黑体" w:hAnsi="黑体" w:eastAsia="黑体"/>
          <w:color w:val="000000"/>
          <w:sz w:val="24"/>
        </w:rPr>
      </w:pPr>
      <w:r>
        <w:rPr>
          <w:rFonts w:hint="eastAsia" w:ascii="黑体" w:hAnsi="黑体" w:eastAsia="黑体"/>
          <w:color w:val="000000"/>
          <w:sz w:val="24"/>
        </w:rPr>
        <w:t>6、特别说明</w:t>
      </w:r>
    </w:p>
    <w:p>
      <w:pPr>
        <w:pStyle w:val="15"/>
        <w:rPr>
          <w:rFonts w:ascii="仿宋" w:hAnsi="仿宋" w:eastAsia="仿宋" w:cs="仿宋_GB2312"/>
          <w:color w:val="000000"/>
        </w:rPr>
      </w:pPr>
      <w:r>
        <w:rPr>
          <w:rFonts w:hint="eastAsia" w:ascii="仿宋" w:hAnsi="仿宋" w:eastAsia="仿宋" w:cs="仿宋_GB2312"/>
          <w:color w:val="000000"/>
        </w:rPr>
        <w:t>6.1本项目采用网上招投标方式，请投标人在“蚌埠市公共资源交易中心网站”下载最新版投标文件制作工具，软件运行需在国际互联网络通畅状态，如因此导致无效投标，责任自负。具体见“办事指南-下载中心”栏目下的资料，仔细阅读招标文件要求和相关操作手册。如有技术问题请联系4009980000。</w:t>
      </w:r>
    </w:p>
    <w:p>
      <w:pPr>
        <w:adjustRightInd w:val="0"/>
        <w:snapToGrid w:val="0"/>
        <w:spacing w:line="360" w:lineRule="auto"/>
        <w:rPr>
          <w:rFonts w:ascii="仿宋" w:hAnsi="仿宋" w:eastAsia="仿宋"/>
          <w:color w:val="000000"/>
          <w:sz w:val="24"/>
        </w:rPr>
      </w:pPr>
      <w:r>
        <w:rPr>
          <w:rFonts w:hint="eastAsia" w:ascii="仿宋" w:hAnsi="仿宋" w:eastAsia="仿宋" w:cs="仿宋_GB2312"/>
          <w:color w:val="000000"/>
          <w:sz w:val="24"/>
        </w:rPr>
        <w:t>6.2</w:t>
      </w:r>
      <w:r>
        <w:rPr>
          <w:rFonts w:hint="eastAsia" w:ascii="仿宋" w:hAnsi="仿宋" w:eastAsia="仿宋"/>
          <w:color w:val="000000"/>
          <w:sz w:val="24"/>
        </w:rPr>
        <w:t>投标人须用数字证书签章和加密投标文件，建议使用主锁。如未办理数字证书请及时到安徽蚌埠公共资源交易中心</w:t>
      </w:r>
      <w:r>
        <w:rPr>
          <w:rFonts w:ascii="仿宋" w:hAnsi="仿宋" w:eastAsia="仿宋"/>
          <w:color w:val="000000"/>
          <w:sz w:val="24"/>
        </w:rPr>
        <w:t>CA</w:t>
      </w:r>
      <w:r>
        <w:rPr>
          <w:rFonts w:hint="eastAsia" w:ascii="仿宋" w:hAnsi="仿宋" w:eastAsia="仿宋"/>
          <w:color w:val="000000"/>
          <w:sz w:val="24"/>
        </w:rPr>
        <w:t>证书办理窗口，联系电话：</w:t>
      </w:r>
      <w:r>
        <w:rPr>
          <w:rFonts w:ascii="仿宋" w:hAnsi="仿宋" w:eastAsia="仿宋"/>
          <w:color w:val="000000"/>
          <w:sz w:val="24"/>
        </w:rPr>
        <w:t>0552-2078835</w:t>
      </w:r>
      <w:r>
        <w:rPr>
          <w:rFonts w:hint="eastAsia" w:ascii="仿宋" w:hAnsi="仿宋" w:eastAsia="仿宋"/>
          <w:color w:val="000000"/>
          <w:sz w:val="24"/>
        </w:rPr>
        <w:t>。</w:t>
      </w:r>
    </w:p>
    <w:p>
      <w:pPr>
        <w:adjustRightInd w:val="0"/>
        <w:snapToGrid w:val="0"/>
        <w:rPr>
          <w:rFonts w:ascii="黑体" w:hAnsi="黑体" w:eastAsia="黑体"/>
          <w:color w:val="000000"/>
          <w:sz w:val="24"/>
        </w:rPr>
      </w:pPr>
    </w:p>
    <w:p>
      <w:pPr>
        <w:adjustRightInd w:val="0"/>
        <w:snapToGrid w:val="0"/>
        <w:rPr>
          <w:rFonts w:ascii="黑体" w:hAnsi="黑体" w:eastAsia="黑体"/>
          <w:color w:val="000000"/>
          <w:sz w:val="24"/>
        </w:rPr>
      </w:pPr>
    </w:p>
    <w:p>
      <w:pPr>
        <w:adjustRightInd w:val="0"/>
        <w:snapToGrid w:val="0"/>
        <w:rPr>
          <w:rFonts w:ascii="黑体" w:hAnsi="黑体" w:eastAsia="黑体"/>
          <w:color w:val="000000"/>
          <w:sz w:val="24"/>
        </w:rPr>
      </w:pPr>
      <w:r>
        <w:rPr>
          <w:rFonts w:ascii="黑体" w:hAnsi="黑体" w:eastAsia="黑体"/>
          <w:color w:val="000000"/>
          <w:sz w:val="24"/>
        </w:rPr>
        <w:t>7</w:t>
      </w:r>
      <w:r>
        <w:rPr>
          <w:rFonts w:hint="eastAsia" w:ascii="黑体" w:hAnsi="黑体" w:eastAsia="黑体"/>
          <w:color w:val="000000"/>
          <w:sz w:val="24"/>
        </w:rPr>
        <w:t>、联系方式</w:t>
      </w:r>
    </w:p>
    <w:p>
      <w:pPr>
        <w:adjustRightInd w:val="0"/>
        <w:snapToGrid w:val="0"/>
        <w:rPr>
          <w:rFonts w:ascii="仿宋" w:hAnsi="仿宋" w:eastAsia="仿宋"/>
          <w:color w:val="000000"/>
          <w:sz w:val="24"/>
        </w:rPr>
      </w:pPr>
      <w:permStart w:id="14" w:edGrp="everyone"/>
      <w:r>
        <w:rPr>
          <w:rFonts w:hint="eastAsia" w:ascii="仿宋" w:hAnsi="仿宋" w:eastAsia="仿宋"/>
          <w:color w:val="000000"/>
          <w:sz w:val="24"/>
        </w:rPr>
        <w:t>招标人：</w:t>
      </w:r>
    </w:p>
    <w:p>
      <w:pPr>
        <w:adjustRightInd w:val="0"/>
        <w:snapToGrid w:val="0"/>
        <w:rPr>
          <w:rFonts w:ascii="仿宋" w:hAnsi="仿宋" w:eastAsia="仿宋"/>
          <w:color w:val="000000"/>
          <w:sz w:val="24"/>
        </w:rPr>
      </w:pPr>
      <w:r>
        <w:rPr>
          <w:rFonts w:hint="eastAsia" w:ascii="仿宋" w:hAnsi="仿宋" w:eastAsia="仿宋"/>
          <w:color w:val="000000"/>
          <w:sz w:val="24"/>
        </w:rPr>
        <w:t>地  址：</w:t>
      </w:r>
    </w:p>
    <w:p>
      <w:pPr>
        <w:adjustRightInd w:val="0"/>
        <w:snapToGrid w:val="0"/>
        <w:rPr>
          <w:rFonts w:ascii="仿宋" w:hAnsi="仿宋" w:eastAsia="仿宋"/>
          <w:color w:val="000000"/>
          <w:sz w:val="24"/>
        </w:rPr>
      </w:pPr>
      <w:r>
        <w:rPr>
          <w:rFonts w:hint="eastAsia" w:ascii="仿宋" w:hAnsi="仿宋" w:eastAsia="仿宋"/>
          <w:color w:val="000000"/>
          <w:sz w:val="24"/>
        </w:rPr>
        <w:t>联系人：</w:t>
      </w:r>
    </w:p>
    <w:p>
      <w:pPr>
        <w:adjustRightInd w:val="0"/>
        <w:snapToGrid w:val="0"/>
        <w:rPr>
          <w:rFonts w:ascii="仿宋" w:hAnsi="仿宋" w:eastAsia="仿宋"/>
          <w:color w:val="000000"/>
          <w:sz w:val="24"/>
        </w:rPr>
      </w:pPr>
      <w:r>
        <w:rPr>
          <w:rFonts w:hint="eastAsia" w:ascii="仿宋" w:hAnsi="仿宋" w:eastAsia="仿宋"/>
          <w:color w:val="000000"/>
          <w:sz w:val="24"/>
        </w:rPr>
        <w:t>电  话：</w:t>
      </w:r>
    </w:p>
    <w:p>
      <w:pPr>
        <w:adjustRightInd w:val="0"/>
        <w:snapToGrid w:val="0"/>
        <w:rPr>
          <w:rFonts w:ascii="仿宋" w:hAnsi="仿宋" w:eastAsia="仿宋"/>
          <w:color w:val="000000"/>
          <w:sz w:val="24"/>
        </w:rPr>
      </w:pPr>
      <w:r>
        <w:rPr>
          <w:rFonts w:hint="eastAsia" w:ascii="仿宋" w:hAnsi="仿宋" w:eastAsia="仿宋"/>
          <w:color w:val="000000"/>
          <w:sz w:val="24"/>
        </w:rPr>
        <w:t>招标代理机构：</w:t>
      </w:r>
    </w:p>
    <w:p>
      <w:pPr>
        <w:adjustRightInd w:val="0"/>
        <w:snapToGrid w:val="0"/>
        <w:rPr>
          <w:rFonts w:ascii="仿宋" w:hAnsi="仿宋" w:eastAsia="仿宋"/>
          <w:color w:val="000000"/>
          <w:sz w:val="24"/>
        </w:rPr>
      </w:pPr>
      <w:r>
        <w:rPr>
          <w:rFonts w:hint="eastAsia" w:ascii="仿宋" w:hAnsi="仿宋" w:eastAsia="仿宋"/>
          <w:color w:val="000000"/>
          <w:sz w:val="24"/>
        </w:rPr>
        <w:t>地 址：</w:t>
      </w:r>
    </w:p>
    <w:p>
      <w:pPr>
        <w:adjustRightInd w:val="0"/>
        <w:snapToGrid w:val="0"/>
        <w:rPr>
          <w:rFonts w:ascii="仿宋" w:hAnsi="仿宋" w:eastAsia="仿宋"/>
          <w:color w:val="000000"/>
          <w:sz w:val="24"/>
        </w:rPr>
      </w:pPr>
      <w:r>
        <w:rPr>
          <w:rFonts w:hint="eastAsia" w:ascii="仿宋" w:hAnsi="仿宋" w:eastAsia="仿宋"/>
          <w:color w:val="000000"/>
          <w:sz w:val="24"/>
        </w:rPr>
        <w:t>联系人：</w:t>
      </w:r>
    </w:p>
    <w:p>
      <w:pPr>
        <w:adjustRightInd w:val="0"/>
        <w:snapToGrid w:val="0"/>
        <w:rPr>
          <w:rFonts w:ascii="仿宋" w:hAnsi="仿宋" w:eastAsia="仿宋"/>
          <w:color w:val="000000"/>
          <w:sz w:val="24"/>
        </w:rPr>
      </w:pPr>
      <w:r>
        <w:rPr>
          <w:rFonts w:hint="eastAsia" w:ascii="仿宋" w:hAnsi="仿宋" w:eastAsia="仿宋"/>
          <w:color w:val="000000"/>
          <w:sz w:val="24"/>
        </w:rPr>
        <w:t>电  话：</w:t>
      </w:r>
    </w:p>
    <w:p>
      <w:pPr>
        <w:adjustRightInd w:val="0"/>
        <w:snapToGrid w:val="0"/>
        <w:rPr>
          <w:rFonts w:ascii="仿宋" w:hAnsi="仿宋" w:eastAsia="仿宋"/>
          <w:color w:val="000000"/>
          <w:sz w:val="24"/>
          <w:u w:val="single"/>
        </w:rPr>
      </w:pPr>
      <w:r>
        <w:rPr>
          <w:rFonts w:hint="eastAsia" w:ascii="仿宋" w:hAnsi="仿宋" w:eastAsia="仿宋"/>
          <w:color w:val="000000"/>
          <w:sz w:val="24"/>
        </w:rPr>
        <w:t>邮 箱:1669690600＠qq.com(邮件不得署名)</w:t>
      </w:r>
      <w:permEnd w:id="14"/>
    </w:p>
    <w:p>
      <w:pPr>
        <w:adjustRightInd w:val="0"/>
        <w:snapToGrid w:val="0"/>
        <w:rPr>
          <w:rFonts w:ascii="仿宋" w:hAnsi="仿宋" w:eastAsia="仿宋"/>
          <w:color w:val="000000"/>
          <w:sz w:val="24"/>
        </w:rPr>
      </w:pPr>
    </w:p>
    <w:p>
      <w:pPr>
        <w:adjustRightInd w:val="0"/>
        <w:snapToGrid w:val="0"/>
        <w:spacing w:line="280" w:lineRule="exact"/>
        <w:rPr>
          <w:rFonts w:ascii="仿宋" w:hAnsi="仿宋" w:eastAsia="仿宋"/>
          <w:color w:val="000000"/>
          <w:sz w:val="24"/>
        </w:rPr>
      </w:pPr>
      <w:permStart w:id="15" w:edGrp="everyone"/>
      <w:r>
        <w:rPr>
          <w:rFonts w:hint="eastAsia" w:ascii="黑体" w:hAnsi="黑体" w:eastAsia="黑体" w:cs="黑体"/>
          <w:color w:val="000000"/>
          <w:sz w:val="24"/>
        </w:rPr>
        <w:t>8、媒体发布：</w:t>
      </w:r>
      <w:r>
        <w:rPr>
          <w:rFonts w:hint="eastAsia" w:ascii="仿宋" w:hAnsi="仿宋" w:eastAsia="仿宋"/>
          <w:color w:val="000000"/>
          <w:sz w:val="24"/>
        </w:rPr>
        <w:t>本招标公告同时在蚌埠市公共资源交易中心网站、“中国蚌埠”党政门户网、安徽省招标投标信息网、安徽省公共资源交易监管网上发布。</w:t>
      </w:r>
    </w:p>
    <w:permEnd w:id="15"/>
    <w:p>
      <w:pPr>
        <w:spacing w:line="300" w:lineRule="exact"/>
        <w:ind w:right="960"/>
        <w:rPr>
          <w:rFonts w:ascii="仿宋_GB2312" w:eastAsia="仿宋_GB2312"/>
        </w:rPr>
        <w:sectPr>
          <w:headerReference r:id="rId4" w:type="default"/>
          <w:footerReference r:id="rId6" w:type="default"/>
          <w:headerReference r:id="rId5" w:type="even"/>
          <w:footerReference r:id="rId7" w:type="even"/>
          <w:pgSz w:w="11907" w:h="16840"/>
          <w:pgMar w:top="1077" w:right="1134" w:bottom="1077" w:left="1134" w:header="680" w:footer="907" w:gutter="0"/>
          <w:cols w:space="720" w:num="1"/>
          <w:docGrid w:linePitch="271" w:charSpace="0"/>
        </w:sectPr>
      </w:pPr>
    </w:p>
    <w:p>
      <w:pPr>
        <w:pStyle w:val="3"/>
        <w:ind w:left="397"/>
        <w:rPr>
          <w:rFonts w:ascii="仿宋_GB2312" w:hAnsi="华文仿宋" w:eastAsia="仿宋_GB2312"/>
          <w:b w:val="0"/>
          <w:bCs/>
          <w:szCs w:val="44"/>
        </w:rPr>
      </w:pPr>
      <w:r>
        <w:rPr>
          <w:rFonts w:hint="eastAsia" w:ascii="仿宋_GB2312" w:hAnsi="华文仿宋" w:eastAsia="仿宋_GB2312"/>
          <w:b w:val="0"/>
          <w:bCs/>
          <w:szCs w:val="44"/>
        </w:rPr>
        <w:t>目  录</w:t>
      </w:r>
    </w:p>
    <w:p>
      <w:pPr>
        <w:pStyle w:val="34"/>
        <w:rPr>
          <w:rFonts w:asciiTheme="minorEastAsia" w:hAnsiTheme="minorEastAsia" w:eastAsiaTheme="minorEastAsia" w:cstheme="minorBidi"/>
          <w:b w:val="0"/>
          <w:bCs w:val="0"/>
          <w:caps w:val="0"/>
          <w:kern w:val="2"/>
          <w:sz w:val="28"/>
          <w:szCs w:val="28"/>
        </w:rPr>
      </w:pPr>
      <w:permStart w:id="16" w:edGrp="everyone"/>
      <w:r>
        <w:rPr>
          <w:rFonts w:hint="eastAsia" w:asciiTheme="minorEastAsia" w:hAnsiTheme="minorEastAsia" w:eastAsiaTheme="minorEastAsia"/>
          <w:b w:val="0"/>
          <w:color w:val="FF0000"/>
          <w:sz w:val="28"/>
          <w:szCs w:val="28"/>
        </w:rPr>
        <w:fldChar w:fldCharType="begin"/>
      </w:r>
      <w:r>
        <w:rPr>
          <w:rFonts w:hint="eastAsia" w:asciiTheme="minorEastAsia" w:hAnsiTheme="minorEastAsia" w:eastAsiaTheme="minorEastAsia"/>
          <w:b w:val="0"/>
          <w:color w:val="FF0000"/>
          <w:sz w:val="28"/>
          <w:szCs w:val="28"/>
        </w:rPr>
        <w:instrText xml:space="preserve"> TOC \o "1-1" \h \z \u </w:instrText>
      </w:r>
      <w:r>
        <w:rPr>
          <w:rFonts w:hint="eastAsia" w:asciiTheme="minorEastAsia" w:hAnsiTheme="minorEastAsia" w:eastAsiaTheme="minorEastAsia"/>
          <w:b w:val="0"/>
          <w:color w:val="FF0000"/>
          <w:sz w:val="28"/>
          <w:szCs w:val="28"/>
        </w:rPr>
        <w:fldChar w:fldCharType="separate"/>
      </w:r>
      <w:r>
        <w:fldChar w:fldCharType="begin"/>
      </w:r>
      <w:r>
        <w:instrText xml:space="preserve"> HYPERLINK \l "_Toc47451000" </w:instrText>
      </w:r>
      <w:r>
        <w:fldChar w:fldCharType="separate"/>
      </w:r>
      <w:r>
        <w:rPr>
          <w:rStyle w:val="57"/>
          <w:rFonts w:hint="eastAsia" w:asciiTheme="minorEastAsia" w:hAnsiTheme="minorEastAsia" w:eastAsiaTheme="minorEastAsia"/>
          <w:b w:val="0"/>
          <w:sz w:val="28"/>
          <w:szCs w:val="28"/>
        </w:rPr>
        <w:t>第一章</w:t>
      </w:r>
      <w:r>
        <w:rPr>
          <w:rStyle w:val="57"/>
          <w:rFonts w:asciiTheme="minorEastAsia" w:hAnsiTheme="minorEastAsia" w:eastAsiaTheme="minorEastAsia"/>
          <w:b w:val="0"/>
          <w:sz w:val="28"/>
          <w:szCs w:val="28"/>
        </w:rPr>
        <w:t xml:space="preserve"> </w:t>
      </w:r>
      <w:r>
        <w:rPr>
          <w:rStyle w:val="57"/>
          <w:rFonts w:hint="eastAsia" w:asciiTheme="minorEastAsia" w:hAnsiTheme="minorEastAsia" w:eastAsiaTheme="minorEastAsia"/>
          <w:b w:val="0"/>
          <w:sz w:val="28"/>
          <w:szCs w:val="28"/>
        </w:rPr>
        <w:t>投标须知</w:t>
      </w:r>
      <w:r>
        <w:rPr>
          <w:rFonts w:asciiTheme="minorEastAsia" w:hAnsiTheme="minorEastAsia" w:eastAsiaTheme="minorEastAsia"/>
          <w:b w:val="0"/>
          <w:sz w:val="28"/>
          <w:szCs w:val="28"/>
        </w:rPr>
        <w:tab/>
      </w:r>
      <w:r>
        <w:rPr>
          <w:rFonts w:asciiTheme="minorEastAsia" w:hAnsiTheme="minorEastAsia" w:eastAsiaTheme="minorEastAsia"/>
          <w:b w:val="0"/>
          <w:sz w:val="28"/>
          <w:szCs w:val="28"/>
        </w:rPr>
        <w:fldChar w:fldCharType="begin"/>
      </w:r>
      <w:r>
        <w:rPr>
          <w:rFonts w:asciiTheme="minorEastAsia" w:hAnsiTheme="minorEastAsia" w:eastAsiaTheme="minorEastAsia"/>
          <w:b w:val="0"/>
          <w:sz w:val="28"/>
          <w:szCs w:val="28"/>
        </w:rPr>
        <w:instrText xml:space="preserve"> PAGEREF _Toc47451000 \h </w:instrText>
      </w:r>
      <w:r>
        <w:rPr>
          <w:rFonts w:asciiTheme="minorEastAsia" w:hAnsiTheme="minorEastAsia" w:eastAsiaTheme="minorEastAsia"/>
          <w:b w:val="0"/>
          <w:sz w:val="28"/>
          <w:szCs w:val="28"/>
        </w:rPr>
        <w:fldChar w:fldCharType="separate"/>
      </w:r>
      <w:r>
        <w:rPr>
          <w:rFonts w:asciiTheme="minorEastAsia" w:hAnsiTheme="minorEastAsia" w:eastAsiaTheme="minorEastAsia"/>
          <w:b w:val="0"/>
          <w:sz w:val="28"/>
          <w:szCs w:val="28"/>
        </w:rPr>
        <w:t>6</w:t>
      </w:r>
      <w:r>
        <w:rPr>
          <w:rFonts w:asciiTheme="minorEastAsia" w:hAnsiTheme="minorEastAsia" w:eastAsiaTheme="minorEastAsia"/>
          <w:b w:val="0"/>
          <w:sz w:val="28"/>
          <w:szCs w:val="28"/>
        </w:rPr>
        <w:fldChar w:fldCharType="end"/>
      </w:r>
      <w:r>
        <w:rPr>
          <w:rFonts w:asciiTheme="minorEastAsia" w:hAnsiTheme="minorEastAsia" w:eastAsiaTheme="minorEastAsia"/>
          <w:b w:val="0"/>
          <w:sz w:val="28"/>
          <w:szCs w:val="28"/>
        </w:rPr>
        <w:fldChar w:fldCharType="end"/>
      </w:r>
    </w:p>
    <w:p>
      <w:pPr>
        <w:pStyle w:val="34"/>
        <w:rPr>
          <w:rFonts w:asciiTheme="minorEastAsia" w:hAnsiTheme="minorEastAsia" w:eastAsiaTheme="minorEastAsia" w:cstheme="minorBidi"/>
          <w:b w:val="0"/>
          <w:bCs w:val="0"/>
          <w:caps w:val="0"/>
          <w:kern w:val="2"/>
          <w:sz w:val="28"/>
          <w:szCs w:val="28"/>
        </w:rPr>
      </w:pPr>
      <w:r>
        <w:fldChar w:fldCharType="begin"/>
      </w:r>
      <w:r>
        <w:instrText xml:space="preserve"> HYPERLINK \l "_Toc47451001" </w:instrText>
      </w:r>
      <w:r>
        <w:fldChar w:fldCharType="separate"/>
      </w:r>
      <w:r>
        <w:rPr>
          <w:rStyle w:val="57"/>
          <w:rFonts w:hint="eastAsia" w:asciiTheme="minorEastAsia" w:hAnsiTheme="minorEastAsia" w:eastAsiaTheme="minorEastAsia"/>
          <w:b w:val="0"/>
          <w:sz w:val="28"/>
          <w:szCs w:val="28"/>
        </w:rPr>
        <w:t>第二章</w:t>
      </w:r>
      <w:r>
        <w:rPr>
          <w:rStyle w:val="57"/>
          <w:rFonts w:asciiTheme="minorEastAsia" w:hAnsiTheme="minorEastAsia" w:eastAsiaTheme="minorEastAsia"/>
          <w:b w:val="0"/>
          <w:sz w:val="28"/>
          <w:szCs w:val="28"/>
        </w:rPr>
        <w:t xml:space="preserve">  </w:t>
      </w:r>
      <w:r>
        <w:rPr>
          <w:rStyle w:val="57"/>
          <w:rFonts w:hint="eastAsia" w:asciiTheme="minorEastAsia" w:hAnsiTheme="minorEastAsia" w:eastAsiaTheme="minorEastAsia"/>
          <w:b w:val="0"/>
          <w:sz w:val="28"/>
          <w:szCs w:val="28"/>
        </w:rPr>
        <w:t>合同条款及格式</w:t>
      </w:r>
      <w:r>
        <w:rPr>
          <w:rFonts w:asciiTheme="minorEastAsia" w:hAnsiTheme="minorEastAsia" w:eastAsiaTheme="minorEastAsia"/>
          <w:b w:val="0"/>
          <w:sz w:val="28"/>
          <w:szCs w:val="28"/>
        </w:rPr>
        <w:tab/>
      </w:r>
      <w:r>
        <w:rPr>
          <w:rFonts w:asciiTheme="minorEastAsia" w:hAnsiTheme="minorEastAsia" w:eastAsiaTheme="minorEastAsia"/>
          <w:b w:val="0"/>
          <w:sz w:val="28"/>
          <w:szCs w:val="28"/>
        </w:rPr>
        <w:fldChar w:fldCharType="begin"/>
      </w:r>
      <w:r>
        <w:rPr>
          <w:rFonts w:asciiTheme="minorEastAsia" w:hAnsiTheme="minorEastAsia" w:eastAsiaTheme="minorEastAsia"/>
          <w:b w:val="0"/>
          <w:sz w:val="28"/>
          <w:szCs w:val="28"/>
        </w:rPr>
        <w:instrText xml:space="preserve"> PAGEREF _Toc47451001 \h </w:instrText>
      </w:r>
      <w:r>
        <w:rPr>
          <w:rFonts w:asciiTheme="minorEastAsia" w:hAnsiTheme="minorEastAsia" w:eastAsiaTheme="minorEastAsia"/>
          <w:b w:val="0"/>
          <w:sz w:val="28"/>
          <w:szCs w:val="28"/>
        </w:rPr>
        <w:fldChar w:fldCharType="separate"/>
      </w:r>
      <w:r>
        <w:rPr>
          <w:rFonts w:asciiTheme="minorEastAsia" w:hAnsiTheme="minorEastAsia" w:eastAsiaTheme="minorEastAsia"/>
          <w:b w:val="0"/>
          <w:sz w:val="28"/>
          <w:szCs w:val="28"/>
        </w:rPr>
        <w:t>49</w:t>
      </w:r>
      <w:r>
        <w:rPr>
          <w:rFonts w:asciiTheme="minorEastAsia" w:hAnsiTheme="minorEastAsia" w:eastAsiaTheme="minorEastAsia"/>
          <w:b w:val="0"/>
          <w:sz w:val="28"/>
          <w:szCs w:val="28"/>
        </w:rPr>
        <w:fldChar w:fldCharType="end"/>
      </w:r>
      <w:r>
        <w:rPr>
          <w:rFonts w:asciiTheme="minorEastAsia" w:hAnsiTheme="minorEastAsia" w:eastAsiaTheme="minorEastAsia"/>
          <w:b w:val="0"/>
          <w:sz w:val="28"/>
          <w:szCs w:val="28"/>
        </w:rPr>
        <w:fldChar w:fldCharType="end"/>
      </w:r>
    </w:p>
    <w:p>
      <w:pPr>
        <w:pStyle w:val="34"/>
        <w:rPr>
          <w:rFonts w:asciiTheme="minorEastAsia" w:hAnsiTheme="minorEastAsia" w:eastAsiaTheme="minorEastAsia" w:cstheme="minorBidi"/>
          <w:b w:val="0"/>
          <w:bCs w:val="0"/>
          <w:caps w:val="0"/>
          <w:kern w:val="2"/>
          <w:sz w:val="28"/>
          <w:szCs w:val="28"/>
        </w:rPr>
      </w:pPr>
      <w:r>
        <w:fldChar w:fldCharType="begin"/>
      </w:r>
      <w:r>
        <w:instrText xml:space="preserve"> HYPERLINK \l "_Toc47451002" </w:instrText>
      </w:r>
      <w:r>
        <w:fldChar w:fldCharType="separate"/>
      </w:r>
      <w:r>
        <w:rPr>
          <w:rStyle w:val="57"/>
          <w:rFonts w:hint="eastAsia" w:asciiTheme="minorEastAsia" w:hAnsiTheme="minorEastAsia" w:eastAsiaTheme="minorEastAsia"/>
          <w:b w:val="0"/>
          <w:sz w:val="28"/>
          <w:szCs w:val="28"/>
        </w:rPr>
        <w:t>第三章</w:t>
      </w:r>
      <w:r>
        <w:rPr>
          <w:rStyle w:val="57"/>
          <w:rFonts w:asciiTheme="minorEastAsia" w:hAnsiTheme="minorEastAsia" w:eastAsiaTheme="minorEastAsia"/>
          <w:b w:val="0"/>
          <w:sz w:val="28"/>
          <w:szCs w:val="28"/>
        </w:rPr>
        <w:t xml:space="preserve">  </w:t>
      </w:r>
      <w:r>
        <w:rPr>
          <w:rStyle w:val="57"/>
          <w:rFonts w:hint="eastAsia" w:asciiTheme="minorEastAsia" w:hAnsiTheme="minorEastAsia" w:eastAsiaTheme="minorEastAsia"/>
          <w:b w:val="0"/>
          <w:sz w:val="28"/>
          <w:szCs w:val="28"/>
        </w:rPr>
        <w:t>投标文件格式</w:t>
      </w:r>
      <w:r>
        <w:rPr>
          <w:rFonts w:asciiTheme="minorEastAsia" w:hAnsiTheme="minorEastAsia" w:eastAsiaTheme="minorEastAsia"/>
          <w:b w:val="0"/>
          <w:sz w:val="28"/>
          <w:szCs w:val="28"/>
        </w:rPr>
        <w:tab/>
      </w:r>
      <w:r>
        <w:rPr>
          <w:rFonts w:asciiTheme="minorEastAsia" w:hAnsiTheme="minorEastAsia" w:eastAsiaTheme="minorEastAsia"/>
          <w:b w:val="0"/>
          <w:sz w:val="28"/>
          <w:szCs w:val="28"/>
        </w:rPr>
        <w:fldChar w:fldCharType="begin"/>
      </w:r>
      <w:r>
        <w:rPr>
          <w:rFonts w:asciiTheme="minorEastAsia" w:hAnsiTheme="minorEastAsia" w:eastAsiaTheme="minorEastAsia"/>
          <w:b w:val="0"/>
          <w:sz w:val="28"/>
          <w:szCs w:val="28"/>
        </w:rPr>
        <w:instrText xml:space="preserve"> PAGEREF _Toc47451002 \h </w:instrText>
      </w:r>
      <w:r>
        <w:rPr>
          <w:rFonts w:asciiTheme="minorEastAsia" w:hAnsiTheme="minorEastAsia" w:eastAsiaTheme="minorEastAsia"/>
          <w:b w:val="0"/>
          <w:sz w:val="28"/>
          <w:szCs w:val="28"/>
        </w:rPr>
        <w:fldChar w:fldCharType="separate"/>
      </w:r>
      <w:r>
        <w:rPr>
          <w:rFonts w:asciiTheme="minorEastAsia" w:hAnsiTheme="minorEastAsia" w:eastAsiaTheme="minorEastAsia"/>
          <w:b w:val="0"/>
          <w:sz w:val="28"/>
          <w:szCs w:val="28"/>
        </w:rPr>
        <w:t>128</w:t>
      </w:r>
      <w:r>
        <w:rPr>
          <w:rFonts w:asciiTheme="minorEastAsia" w:hAnsiTheme="minorEastAsia" w:eastAsiaTheme="minorEastAsia"/>
          <w:b w:val="0"/>
          <w:sz w:val="28"/>
          <w:szCs w:val="28"/>
        </w:rPr>
        <w:fldChar w:fldCharType="end"/>
      </w:r>
      <w:r>
        <w:rPr>
          <w:rFonts w:asciiTheme="minorEastAsia" w:hAnsiTheme="minorEastAsia" w:eastAsiaTheme="minorEastAsia"/>
          <w:b w:val="0"/>
          <w:sz w:val="28"/>
          <w:szCs w:val="28"/>
        </w:rPr>
        <w:fldChar w:fldCharType="end"/>
      </w:r>
    </w:p>
    <w:p>
      <w:pPr>
        <w:pStyle w:val="34"/>
        <w:rPr>
          <w:rFonts w:asciiTheme="minorEastAsia" w:hAnsiTheme="minorEastAsia" w:eastAsiaTheme="minorEastAsia" w:cstheme="minorBidi"/>
          <w:b w:val="0"/>
          <w:bCs w:val="0"/>
          <w:caps w:val="0"/>
          <w:kern w:val="2"/>
          <w:sz w:val="28"/>
          <w:szCs w:val="28"/>
        </w:rPr>
      </w:pPr>
      <w:r>
        <w:fldChar w:fldCharType="begin"/>
      </w:r>
      <w:r>
        <w:instrText xml:space="preserve"> HYPERLINK \l "_Toc47451003" </w:instrText>
      </w:r>
      <w:r>
        <w:fldChar w:fldCharType="separate"/>
      </w:r>
      <w:r>
        <w:rPr>
          <w:rStyle w:val="57"/>
          <w:rFonts w:hint="eastAsia" w:asciiTheme="minorEastAsia" w:hAnsiTheme="minorEastAsia" w:eastAsiaTheme="minorEastAsia"/>
          <w:b w:val="0"/>
          <w:sz w:val="28"/>
          <w:szCs w:val="28"/>
        </w:rPr>
        <w:t>第四章</w:t>
      </w:r>
      <w:r>
        <w:rPr>
          <w:rStyle w:val="57"/>
          <w:rFonts w:asciiTheme="minorEastAsia" w:hAnsiTheme="minorEastAsia" w:eastAsiaTheme="minorEastAsia"/>
          <w:b w:val="0"/>
          <w:sz w:val="28"/>
          <w:szCs w:val="28"/>
        </w:rPr>
        <w:t xml:space="preserve">  </w:t>
      </w:r>
      <w:r>
        <w:rPr>
          <w:rStyle w:val="57"/>
          <w:rFonts w:hint="eastAsia" w:asciiTheme="minorEastAsia" w:hAnsiTheme="minorEastAsia" w:eastAsiaTheme="minorEastAsia"/>
          <w:b w:val="0"/>
          <w:sz w:val="28"/>
          <w:szCs w:val="28"/>
        </w:rPr>
        <w:t>工程技术经济要求</w:t>
      </w:r>
      <w:r>
        <w:rPr>
          <w:rFonts w:asciiTheme="minorEastAsia" w:hAnsiTheme="minorEastAsia" w:eastAsiaTheme="minorEastAsia"/>
          <w:b w:val="0"/>
          <w:sz w:val="28"/>
          <w:szCs w:val="28"/>
        </w:rPr>
        <w:tab/>
      </w:r>
      <w:r>
        <w:rPr>
          <w:rFonts w:asciiTheme="minorEastAsia" w:hAnsiTheme="minorEastAsia" w:eastAsiaTheme="minorEastAsia"/>
          <w:b w:val="0"/>
          <w:sz w:val="28"/>
          <w:szCs w:val="28"/>
        </w:rPr>
        <w:fldChar w:fldCharType="begin"/>
      </w:r>
      <w:r>
        <w:rPr>
          <w:rFonts w:asciiTheme="minorEastAsia" w:hAnsiTheme="minorEastAsia" w:eastAsiaTheme="minorEastAsia"/>
          <w:b w:val="0"/>
          <w:sz w:val="28"/>
          <w:szCs w:val="28"/>
        </w:rPr>
        <w:instrText xml:space="preserve"> PAGEREF _Toc47451003 \h </w:instrText>
      </w:r>
      <w:r>
        <w:rPr>
          <w:rFonts w:asciiTheme="minorEastAsia" w:hAnsiTheme="minorEastAsia" w:eastAsiaTheme="minorEastAsia"/>
          <w:b w:val="0"/>
          <w:sz w:val="28"/>
          <w:szCs w:val="28"/>
        </w:rPr>
        <w:fldChar w:fldCharType="separate"/>
      </w:r>
      <w:r>
        <w:rPr>
          <w:rFonts w:asciiTheme="minorEastAsia" w:hAnsiTheme="minorEastAsia" w:eastAsiaTheme="minorEastAsia"/>
          <w:b w:val="0"/>
          <w:sz w:val="28"/>
          <w:szCs w:val="28"/>
        </w:rPr>
        <w:t>158</w:t>
      </w:r>
      <w:r>
        <w:rPr>
          <w:rFonts w:asciiTheme="minorEastAsia" w:hAnsiTheme="minorEastAsia" w:eastAsiaTheme="minorEastAsia"/>
          <w:b w:val="0"/>
          <w:sz w:val="28"/>
          <w:szCs w:val="28"/>
        </w:rPr>
        <w:fldChar w:fldCharType="end"/>
      </w:r>
      <w:r>
        <w:rPr>
          <w:rFonts w:asciiTheme="minorEastAsia" w:hAnsiTheme="minorEastAsia" w:eastAsiaTheme="minorEastAsia"/>
          <w:b w:val="0"/>
          <w:sz w:val="28"/>
          <w:szCs w:val="28"/>
        </w:rPr>
        <w:fldChar w:fldCharType="end"/>
      </w:r>
    </w:p>
    <w:p>
      <w:pPr>
        <w:pStyle w:val="34"/>
        <w:rPr>
          <w:rFonts w:asciiTheme="minorEastAsia" w:hAnsiTheme="minorEastAsia" w:eastAsiaTheme="minorEastAsia" w:cstheme="minorBidi"/>
          <w:b w:val="0"/>
          <w:bCs w:val="0"/>
          <w:caps w:val="0"/>
          <w:kern w:val="2"/>
          <w:sz w:val="28"/>
          <w:szCs w:val="28"/>
        </w:rPr>
      </w:pPr>
      <w:r>
        <w:fldChar w:fldCharType="begin"/>
      </w:r>
      <w:r>
        <w:instrText xml:space="preserve"> HYPERLINK \l "_Toc47451004" </w:instrText>
      </w:r>
      <w:r>
        <w:fldChar w:fldCharType="separate"/>
      </w:r>
      <w:r>
        <w:rPr>
          <w:rStyle w:val="57"/>
          <w:rFonts w:hint="eastAsia" w:asciiTheme="minorEastAsia" w:hAnsiTheme="minorEastAsia" w:eastAsiaTheme="minorEastAsia"/>
          <w:b w:val="0"/>
          <w:sz w:val="28"/>
          <w:szCs w:val="28"/>
        </w:rPr>
        <w:t>第五章</w:t>
      </w:r>
      <w:r>
        <w:rPr>
          <w:rStyle w:val="57"/>
          <w:rFonts w:asciiTheme="minorEastAsia" w:hAnsiTheme="minorEastAsia" w:eastAsiaTheme="minorEastAsia"/>
          <w:b w:val="0"/>
          <w:sz w:val="28"/>
          <w:szCs w:val="28"/>
        </w:rPr>
        <w:t xml:space="preserve">  </w:t>
      </w:r>
      <w:r>
        <w:rPr>
          <w:rStyle w:val="57"/>
          <w:rFonts w:hint="eastAsia" w:asciiTheme="minorEastAsia" w:hAnsiTheme="minorEastAsia" w:eastAsiaTheme="minorEastAsia"/>
          <w:b w:val="0"/>
          <w:sz w:val="28"/>
          <w:szCs w:val="28"/>
        </w:rPr>
        <w:t>施工图设计文件</w:t>
      </w:r>
      <w:r>
        <w:rPr>
          <w:rFonts w:asciiTheme="minorEastAsia" w:hAnsiTheme="minorEastAsia" w:eastAsiaTheme="minorEastAsia"/>
          <w:b w:val="0"/>
          <w:sz w:val="28"/>
          <w:szCs w:val="28"/>
        </w:rPr>
        <w:tab/>
      </w:r>
      <w:r>
        <w:rPr>
          <w:rFonts w:asciiTheme="minorEastAsia" w:hAnsiTheme="minorEastAsia" w:eastAsiaTheme="minorEastAsia"/>
          <w:b w:val="0"/>
          <w:sz w:val="28"/>
          <w:szCs w:val="28"/>
        </w:rPr>
        <w:fldChar w:fldCharType="begin"/>
      </w:r>
      <w:r>
        <w:rPr>
          <w:rFonts w:asciiTheme="minorEastAsia" w:hAnsiTheme="minorEastAsia" w:eastAsiaTheme="minorEastAsia"/>
          <w:b w:val="0"/>
          <w:sz w:val="28"/>
          <w:szCs w:val="28"/>
        </w:rPr>
        <w:instrText xml:space="preserve"> PAGEREF _Toc47451004 \h </w:instrText>
      </w:r>
      <w:r>
        <w:rPr>
          <w:rFonts w:asciiTheme="minorEastAsia" w:hAnsiTheme="minorEastAsia" w:eastAsiaTheme="minorEastAsia"/>
          <w:b w:val="0"/>
          <w:sz w:val="28"/>
          <w:szCs w:val="28"/>
        </w:rPr>
        <w:fldChar w:fldCharType="separate"/>
      </w:r>
      <w:r>
        <w:rPr>
          <w:rFonts w:asciiTheme="minorEastAsia" w:hAnsiTheme="minorEastAsia" w:eastAsiaTheme="minorEastAsia"/>
          <w:b w:val="0"/>
          <w:sz w:val="28"/>
          <w:szCs w:val="28"/>
        </w:rPr>
        <w:t>158</w:t>
      </w:r>
      <w:r>
        <w:rPr>
          <w:rFonts w:asciiTheme="minorEastAsia" w:hAnsiTheme="minorEastAsia" w:eastAsiaTheme="minorEastAsia"/>
          <w:b w:val="0"/>
          <w:sz w:val="28"/>
          <w:szCs w:val="28"/>
        </w:rPr>
        <w:fldChar w:fldCharType="end"/>
      </w:r>
      <w:r>
        <w:rPr>
          <w:rFonts w:asciiTheme="minorEastAsia" w:hAnsiTheme="minorEastAsia" w:eastAsiaTheme="minorEastAsia"/>
          <w:b w:val="0"/>
          <w:sz w:val="28"/>
          <w:szCs w:val="28"/>
        </w:rPr>
        <w:fldChar w:fldCharType="end"/>
      </w:r>
    </w:p>
    <w:p>
      <w:pPr>
        <w:pStyle w:val="34"/>
        <w:rPr>
          <w:rFonts w:asciiTheme="minorEastAsia" w:hAnsiTheme="minorEastAsia" w:eastAsiaTheme="minorEastAsia" w:cstheme="minorBidi"/>
          <w:b w:val="0"/>
          <w:bCs w:val="0"/>
          <w:caps w:val="0"/>
          <w:kern w:val="2"/>
          <w:sz w:val="28"/>
          <w:szCs w:val="28"/>
        </w:rPr>
      </w:pPr>
      <w:r>
        <w:fldChar w:fldCharType="begin"/>
      </w:r>
      <w:r>
        <w:instrText xml:space="preserve"> HYPERLINK \l "_Toc47451005" </w:instrText>
      </w:r>
      <w:r>
        <w:fldChar w:fldCharType="separate"/>
      </w:r>
      <w:r>
        <w:rPr>
          <w:rStyle w:val="57"/>
          <w:rFonts w:hint="eastAsia" w:asciiTheme="minorEastAsia" w:hAnsiTheme="minorEastAsia" w:eastAsiaTheme="minorEastAsia"/>
          <w:b w:val="0"/>
          <w:sz w:val="28"/>
          <w:szCs w:val="28"/>
        </w:rPr>
        <w:t>第六章</w:t>
      </w:r>
      <w:r>
        <w:rPr>
          <w:rStyle w:val="57"/>
          <w:rFonts w:asciiTheme="minorEastAsia" w:hAnsiTheme="minorEastAsia" w:eastAsiaTheme="minorEastAsia"/>
          <w:b w:val="0"/>
          <w:sz w:val="28"/>
          <w:szCs w:val="28"/>
        </w:rPr>
        <w:t xml:space="preserve">  </w:t>
      </w:r>
      <w:r>
        <w:rPr>
          <w:rStyle w:val="57"/>
          <w:rFonts w:hint="eastAsia" w:asciiTheme="minorEastAsia" w:hAnsiTheme="minorEastAsia" w:eastAsiaTheme="minorEastAsia"/>
          <w:b w:val="0"/>
          <w:sz w:val="28"/>
          <w:szCs w:val="28"/>
        </w:rPr>
        <w:t>工程量清单及光盘（另附）</w:t>
      </w:r>
      <w:r>
        <w:rPr>
          <w:rFonts w:asciiTheme="minorEastAsia" w:hAnsiTheme="minorEastAsia" w:eastAsiaTheme="minorEastAsia"/>
          <w:b w:val="0"/>
          <w:sz w:val="28"/>
          <w:szCs w:val="28"/>
        </w:rPr>
        <w:tab/>
      </w:r>
      <w:r>
        <w:rPr>
          <w:rFonts w:asciiTheme="minorEastAsia" w:hAnsiTheme="minorEastAsia" w:eastAsiaTheme="minorEastAsia"/>
          <w:b w:val="0"/>
          <w:sz w:val="28"/>
          <w:szCs w:val="28"/>
        </w:rPr>
        <w:fldChar w:fldCharType="begin"/>
      </w:r>
      <w:r>
        <w:rPr>
          <w:rFonts w:asciiTheme="minorEastAsia" w:hAnsiTheme="minorEastAsia" w:eastAsiaTheme="minorEastAsia"/>
          <w:b w:val="0"/>
          <w:sz w:val="28"/>
          <w:szCs w:val="28"/>
        </w:rPr>
        <w:instrText xml:space="preserve"> PAGEREF _Toc47451005 \h </w:instrText>
      </w:r>
      <w:r>
        <w:rPr>
          <w:rFonts w:asciiTheme="minorEastAsia" w:hAnsiTheme="minorEastAsia" w:eastAsiaTheme="minorEastAsia"/>
          <w:b w:val="0"/>
          <w:sz w:val="28"/>
          <w:szCs w:val="28"/>
        </w:rPr>
        <w:fldChar w:fldCharType="separate"/>
      </w:r>
      <w:r>
        <w:rPr>
          <w:rFonts w:asciiTheme="minorEastAsia" w:hAnsiTheme="minorEastAsia" w:eastAsiaTheme="minorEastAsia"/>
          <w:b w:val="0"/>
          <w:sz w:val="28"/>
          <w:szCs w:val="28"/>
        </w:rPr>
        <w:t>158</w:t>
      </w:r>
      <w:r>
        <w:rPr>
          <w:rFonts w:asciiTheme="minorEastAsia" w:hAnsiTheme="minorEastAsia" w:eastAsiaTheme="minorEastAsia"/>
          <w:b w:val="0"/>
          <w:sz w:val="28"/>
          <w:szCs w:val="28"/>
        </w:rPr>
        <w:fldChar w:fldCharType="end"/>
      </w:r>
      <w:r>
        <w:rPr>
          <w:rFonts w:asciiTheme="minorEastAsia" w:hAnsiTheme="minorEastAsia" w:eastAsiaTheme="minorEastAsia"/>
          <w:b w:val="0"/>
          <w:sz w:val="28"/>
          <w:szCs w:val="28"/>
        </w:rPr>
        <w:fldChar w:fldCharType="end"/>
      </w:r>
    </w:p>
    <w:p>
      <w:pPr>
        <w:pStyle w:val="34"/>
        <w:rPr>
          <w:rFonts w:asciiTheme="minorEastAsia" w:hAnsiTheme="minorEastAsia" w:eastAsiaTheme="minorEastAsia" w:cstheme="minorBidi"/>
          <w:b w:val="0"/>
          <w:bCs w:val="0"/>
          <w:caps w:val="0"/>
          <w:kern w:val="2"/>
          <w:sz w:val="28"/>
          <w:szCs w:val="28"/>
        </w:rPr>
      </w:pPr>
      <w:r>
        <w:fldChar w:fldCharType="begin"/>
      </w:r>
      <w:r>
        <w:instrText xml:space="preserve"> HYPERLINK \l "_Toc47451006" </w:instrText>
      </w:r>
      <w:r>
        <w:fldChar w:fldCharType="separate"/>
      </w:r>
      <w:r>
        <w:rPr>
          <w:rStyle w:val="57"/>
          <w:rFonts w:hint="eastAsia" w:asciiTheme="minorEastAsia" w:hAnsiTheme="minorEastAsia" w:eastAsiaTheme="minorEastAsia"/>
          <w:b w:val="0"/>
          <w:sz w:val="28"/>
          <w:szCs w:val="28"/>
        </w:rPr>
        <w:t>第七章</w:t>
      </w:r>
      <w:r>
        <w:rPr>
          <w:rStyle w:val="57"/>
          <w:rFonts w:asciiTheme="minorEastAsia" w:hAnsiTheme="minorEastAsia" w:eastAsiaTheme="minorEastAsia"/>
          <w:b w:val="0"/>
          <w:sz w:val="28"/>
          <w:szCs w:val="28"/>
        </w:rPr>
        <w:t xml:space="preserve">  </w:t>
      </w:r>
      <w:r>
        <w:rPr>
          <w:rStyle w:val="57"/>
          <w:rFonts w:hint="eastAsia" w:asciiTheme="minorEastAsia" w:hAnsiTheme="minorEastAsia" w:eastAsiaTheme="minorEastAsia"/>
          <w:b w:val="0"/>
          <w:sz w:val="28"/>
          <w:szCs w:val="28"/>
        </w:rPr>
        <w:t>招标文件的答疑及补充（另附）</w:t>
      </w:r>
      <w:r>
        <w:rPr>
          <w:rFonts w:asciiTheme="minorEastAsia" w:hAnsiTheme="minorEastAsia" w:eastAsiaTheme="minorEastAsia"/>
          <w:b w:val="0"/>
          <w:sz w:val="28"/>
          <w:szCs w:val="28"/>
        </w:rPr>
        <w:tab/>
      </w:r>
      <w:r>
        <w:rPr>
          <w:rFonts w:asciiTheme="minorEastAsia" w:hAnsiTheme="minorEastAsia" w:eastAsiaTheme="minorEastAsia"/>
          <w:b w:val="0"/>
          <w:sz w:val="28"/>
          <w:szCs w:val="28"/>
        </w:rPr>
        <w:fldChar w:fldCharType="begin"/>
      </w:r>
      <w:r>
        <w:rPr>
          <w:rFonts w:asciiTheme="minorEastAsia" w:hAnsiTheme="minorEastAsia" w:eastAsiaTheme="minorEastAsia"/>
          <w:b w:val="0"/>
          <w:sz w:val="28"/>
          <w:szCs w:val="28"/>
        </w:rPr>
        <w:instrText xml:space="preserve"> PAGEREF _Toc47451006 \h </w:instrText>
      </w:r>
      <w:r>
        <w:rPr>
          <w:rFonts w:asciiTheme="minorEastAsia" w:hAnsiTheme="minorEastAsia" w:eastAsiaTheme="minorEastAsia"/>
          <w:b w:val="0"/>
          <w:sz w:val="28"/>
          <w:szCs w:val="28"/>
        </w:rPr>
        <w:fldChar w:fldCharType="separate"/>
      </w:r>
      <w:r>
        <w:rPr>
          <w:rFonts w:asciiTheme="minorEastAsia" w:hAnsiTheme="minorEastAsia" w:eastAsiaTheme="minorEastAsia"/>
          <w:b w:val="0"/>
          <w:sz w:val="28"/>
          <w:szCs w:val="28"/>
        </w:rPr>
        <w:t>158</w:t>
      </w:r>
      <w:r>
        <w:rPr>
          <w:rFonts w:asciiTheme="minorEastAsia" w:hAnsiTheme="minorEastAsia" w:eastAsiaTheme="minorEastAsia"/>
          <w:b w:val="0"/>
          <w:sz w:val="28"/>
          <w:szCs w:val="28"/>
        </w:rPr>
        <w:fldChar w:fldCharType="end"/>
      </w:r>
      <w:r>
        <w:rPr>
          <w:rFonts w:asciiTheme="minorEastAsia" w:hAnsiTheme="minorEastAsia" w:eastAsiaTheme="minorEastAsia"/>
          <w:b w:val="0"/>
          <w:sz w:val="28"/>
          <w:szCs w:val="28"/>
        </w:rPr>
        <w:fldChar w:fldCharType="end"/>
      </w:r>
    </w:p>
    <w:p>
      <w:pPr>
        <w:pStyle w:val="34"/>
        <w:rPr>
          <w:rFonts w:asciiTheme="minorEastAsia" w:hAnsiTheme="minorEastAsia" w:eastAsiaTheme="minorEastAsia" w:cstheme="minorBidi"/>
          <w:b w:val="0"/>
          <w:bCs w:val="0"/>
          <w:caps w:val="0"/>
          <w:kern w:val="2"/>
          <w:sz w:val="28"/>
          <w:szCs w:val="28"/>
        </w:rPr>
      </w:pPr>
      <w:r>
        <w:fldChar w:fldCharType="begin"/>
      </w:r>
      <w:r>
        <w:instrText xml:space="preserve"> HYPERLINK \l "_Toc47451007" </w:instrText>
      </w:r>
      <w:r>
        <w:fldChar w:fldCharType="separate"/>
      </w:r>
      <w:r>
        <w:rPr>
          <w:rStyle w:val="57"/>
          <w:rFonts w:hint="eastAsia" w:asciiTheme="minorEastAsia" w:hAnsiTheme="minorEastAsia" w:eastAsiaTheme="minorEastAsia"/>
          <w:b w:val="0"/>
          <w:sz w:val="28"/>
          <w:szCs w:val="28"/>
        </w:rPr>
        <w:t>第八章</w:t>
      </w:r>
      <w:r>
        <w:rPr>
          <w:rStyle w:val="57"/>
          <w:rFonts w:asciiTheme="minorEastAsia" w:hAnsiTheme="minorEastAsia" w:eastAsiaTheme="minorEastAsia"/>
          <w:b w:val="0"/>
          <w:sz w:val="28"/>
          <w:szCs w:val="28"/>
        </w:rPr>
        <w:t xml:space="preserve">  </w:t>
      </w:r>
      <w:r>
        <w:rPr>
          <w:rStyle w:val="57"/>
          <w:rFonts w:hint="eastAsia" w:asciiTheme="minorEastAsia" w:hAnsiTheme="minorEastAsia" w:eastAsiaTheme="minorEastAsia"/>
          <w:b w:val="0"/>
          <w:sz w:val="28"/>
          <w:szCs w:val="28"/>
        </w:rPr>
        <w:t>其他资料</w:t>
      </w:r>
      <w:r>
        <w:rPr>
          <w:rFonts w:asciiTheme="minorEastAsia" w:hAnsiTheme="minorEastAsia" w:eastAsiaTheme="minorEastAsia"/>
          <w:b w:val="0"/>
          <w:sz w:val="28"/>
          <w:szCs w:val="28"/>
        </w:rPr>
        <w:tab/>
      </w:r>
      <w:r>
        <w:rPr>
          <w:rFonts w:asciiTheme="minorEastAsia" w:hAnsiTheme="minorEastAsia" w:eastAsiaTheme="minorEastAsia"/>
          <w:b w:val="0"/>
          <w:sz w:val="28"/>
          <w:szCs w:val="28"/>
        </w:rPr>
        <w:fldChar w:fldCharType="begin"/>
      </w:r>
      <w:r>
        <w:rPr>
          <w:rFonts w:asciiTheme="minorEastAsia" w:hAnsiTheme="minorEastAsia" w:eastAsiaTheme="minorEastAsia"/>
          <w:b w:val="0"/>
          <w:sz w:val="28"/>
          <w:szCs w:val="28"/>
        </w:rPr>
        <w:instrText xml:space="preserve"> PAGEREF _Toc47451007 \h </w:instrText>
      </w:r>
      <w:r>
        <w:rPr>
          <w:rFonts w:asciiTheme="minorEastAsia" w:hAnsiTheme="minorEastAsia" w:eastAsiaTheme="minorEastAsia"/>
          <w:b w:val="0"/>
          <w:sz w:val="28"/>
          <w:szCs w:val="28"/>
        </w:rPr>
        <w:fldChar w:fldCharType="separate"/>
      </w:r>
      <w:r>
        <w:rPr>
          <w:rFonts w:asciiTheme="minorEastAsia" w:hAnsiTheme="minorEastAsia" w:eastAsiaTheme="minorEastAsia"/>
          <w:b w:val="0"/>
          <w:sz w:val="28"/>
          <w:szCs w:val="28"/>
        </w:rPr>
        <w:t>158</w:t>
      </w:r>
      <w:r>
        <w:rPr>
          <w:rFonts w:asciiTheme="minorEastAsia" w:hAnsiTheme="minorEastAsia" w:eastAsiaTheme="minorEastAsia"/>
          <w:b w:val="0"/>
          <w:sz w:val="28"/>
          <w:szCs w:val="28"/>
        </w:rPr>
        <w:fldChar w:fldCharType="end"/>
      </w:r>
      <w:r>
        <w:rPr>
          <w:rFonts w:asciiTheme="minorEastAsia" w:hAnsiTheme="minorEastAsia" w:eastAsiaTheme="minorEastAsia"/>
          <w:b w:val="0"/>
          <w:sz w:val="28"/>
          <w:szCs w:val="28"/>
        </w:rPr>
        <w:fldChar w:fldCharType="end"/>
      </w:r>
    </w:p>
    <w:p>
      <w:pPr>
        <w:pStyle w:val="34"/>
        <w:rPr>
          <w:rFonts w:asciiTheme="minorEastAsia" w:hAnsiTheme="minorEastAsia" w:eastAsiaTheme="minorEastAsia" w:cstheme="minorBidi"/>
          <w:b w:val="0"/>
          <w:bCs w:val="0"/>
          <w:caps w:val="0"/>
          <w:kern w:val="2"/>
          <w:sz w:val="28"/>
          <w:szCs w:val="28"/>
        </w:rPr>
      </w:pPr>
      <w:r>
        <w:fldChar w:fldCharType="begin"/>
      </w:r>
      <w:r>
        <w:instrText xml:space="preserve"> HYPERLINK \l "_Toc47451008" </w:instrText>
      </w:r>
      <w:r>
        <w:fldChar w:fldCharType="separate"/>
      </w:r>
      <w:r>
        <w:rPr>
          <w:rStyle w:val="57"/>
          <w:rFonts w:hint="eastAsia" w:asciiTheme="minorEastAsia" w:hAnsiTheme="minorEastAsia" w:eastAsiaTheme="minorEastAsia"/>
          <w:b w:val="0"/>
          <w:sz w:val="28"/>
          <w:szCs w:val="28"/>
        </w:rPr>
        <w:t>第九章</w:t>
      </w:r>
      <w:r>
        <w:rPr>
          <w:rStyle w:val="57"/>
          <w:rFonts w:asciiTheme="minorEastAsia" w:hAnsiTheme="minorEastAsia" w:eastAsiaTheme="minorEastAsia"/>
          <w:b w:val="0"/>
          <w:sz w:val="28"/>
          <w:szCs w:val="28"/>
        </w:rPr>
        <w:t xml:space="preserve"> </w:t>
      </w:r>
      <w:r>
        <w:rPr>
          <w:rStyle w:val="57"/>
          <w:rFonts w:hint="eastAsia" w:asciiTheme="minorEastAsia" w:hAnsiTheme="minorEastAsia" w:eastAsiaTheme="minorEastAsia"/>
          <w:b w:val="0"/>
          <w:sz w:val="28"/>
          <w:szCs w:val="28"/>
        </w:rPr>
        <w:t>投标人不良信用记录查询情况表</w:t>
      </w:r>
      <w:r>
        <w:rPr>
          <w:rFonts w:asciiTheme="minorEastAsia" w:hAnsiTheme="minorEastAsia" w:eastAsiaTheme="minorEastAsia"/>
          <w:b w:val="0"/>
          <w:sz w:val="28"/>
          <w:szCs w:val="28"/>
        </w:rPr>
        <w:tab/>
      </w:r>
      <w:r>
        <w:rPr>
          <w:rFonts w:asciiTheme="minorEastAsia" w:hAnsiTheme="minorEastAsia" w:eastAsiaTheme="minorEastAsia"/>
          <w:b w:val="0"/>
          <w:sz w:val="28"/>
          <w:szCs w:val="28"/>
        </w:rPr>
        <w:fldChar w:fldCharType="begin"/>
      </w:r>
      <w:r>
        <w:rPr>
          <w:rFonts w:asciiTheme="minorEastAsia" w:hAnsiTheme="minorEastAsia" w:eastAsiaTheme="minorEastAsia"/>
          <w:b w:val="0"/>
          <w:sz w:val="28"/>
          <w:szCs w:val="28"/>
        </w:rPr>
        <w:instrText xml:space="preserve"> PAGEREF _Toc47451008 \h </w:instrText>
      </w:r>
      <w:r>
        <w:rPr>
          <w:rFonts w:asciiTheme="minorEastAsia" w:hAnsiTheme="minorEastAsia" w:eastAsiaTheme="minorEastAsia"/>
          <w:b w:val="0"/>
          <w:sz w:val="28"/>
          <w:szCs w:val="28"/>
        </w:rPr>
        <w:fldChar w:fldCharType="separate"/>
      </w:r>
      <w:r>
        <w:rPr>
          <w:rFonts w:asciiTheme="minorEastAsia" w:hAnsiTheme="minorEastAsia" w:eastAsiaTheme="minorEastAsia"/>
          <w:b w:val="0"/>
          <w:sz w:val="28"/>
          <w:szCs w:val="28"/>
        </w:rPr>
        <w:t>160</w:t>
      </w:r>
      <w:r>
        <w:rPr>
          <w:rFonts w:asciiTheme="minorEastAsia" w:hAnsiTheme="minorEastAsia" w:eastAsiaTheme="minorEastAsia"/>
          <w:b w:val="0"/>
          <w:sz w:val="28"/>
          <w:szCs w:val="28"/>
        </w:rPr>
        <w:fldChar w:fldCharType="end"/>
      </w:r>
      <w:r>
        <w:rPr>
          <w:rFonts w:asciiTheme="minorEastAsia" w:hAnsiTheme="minorEastAsia" w:eastAsiaTheme="minorEastAsia"/>
          <w:b w:val="0"/>
          <w:sz w:val="28"/>
          <w:szCs w:val="28"/>
        </w:rPr>
        <w:fldChar w:fldCharType="end"/>
      </w:r>
    </w:p>
    <w:p>
      <w:pPr>
        <w:pStyle w:val="34"/>
        <w:rPr>
          <w:rFonts w:asciiTheme="minorEastAsia" w:hAnsiTheme="minorEastAsia" w:eastAsiaTheme="minorEastAsia" w:cstheme="minorBidi"/>
          <w:b w:val="0"/>
          <w:bCs w:val="0"/>
          <w:caps w:val="0"/>
          <w:kern w:val="2"/>
          <w:sz w:val="28"/>
          <w:szCs w:val="28"/>
        </w:rPr>
      </w:pPr>
      <w:r>
        <w:fldChar w:fldCharType="begin"/>
      </w:r>
      <w:r>
        <w:instrText xml:space="preserve"> HYPERLINK \l "_Toc47451009" </w:instrText>
      </w:r>
      <w:r>
        <w:fldChar w:fldCharType="separate"/>
      </w:r>
      <w:r>
        <w:rPr>
          <w:rStyle w:val="57"/>
          <w:rFonts w:hint="eastAsia" w:asciiTheme="minorEastAsia" w:hAnsiTheme="minorEastAsia" w:eastAsiaTheme="minorEastAsia"/>
          <w:b w:val="0"/>
          <w:sz w:val="28"/>
          <w:szCs w:val="28"/>
        </w:rPr>
        <w:t>第十章安徽蚌埠公共资源交易服务网上招投标操作规程（暂行）</w:t>
      </w:r>
      <w:r>
        <w:rPr>
          <w:rFonts w:asciiTheme="minorEastAsia" w:hAnsiTheme="minorEastAsia" w:eastAsiaTheme="minorEastAsia"/>
          <w:b w:val="0"/>
          <w:sz w:val="28"/>
          <w:szCs w:val="28"/>
        </w:rPr>
        <w:tab/>
      </w:r>
      <w:r>
        <w:rPr>
          <w:rFonts w:asciiTheme="minorEastAsia" w:hAnsiTheme="minorEastAsia" w:eastAsiaTheme="minorEastAsia"/>
          <w:b w:val="0"/>
          <w:sz w:val="28"/>
          <w:szCs w:val="28"/>
        </w:rPr>
        <w:fldChar w:fldCharType="begin"/>
      </w:r>
      <w:r>
        <w:rPr>
          <w:rFonts w:asciiTheme="minorEastAsia" w:hAnsiTheme="minorEastAsia" w:eastAsiaTheme="minorEastAsia"/>
          <w:b w:val="0"/>
          <w:sz w:val="28"/>
          <w:szCs w:val="28"/>
        </w:rPr>
        <w:instrText xml:space="preserve"> PAGEREF _Toc47451009 \h </w:instrText>
      </w:r>
      <w:r>
        <w:rPr>
          <w:rFonts w:asciiTheme="minorEastAsia" w:hAnsiTheme="minorEastAsia" w:eastAsiaTheme="minorEastAsia"/>
          <w:b w:val="0"/>
          <w:sz w:val="28"/>
          <w:szCs w:val="28"/>
        </w:rPr>
        <w:fldChar w:fldCharType="separate"/>
      </w:r>
      <w:r>
        <w:rPr>
          <w:rFonts w:asciiTheme="minorEastAsia" w:hAnsiTheme="minorEastAsia" w:eastAsiaTheme="minorEastAsia"/>
          <w:b w:val="0"/>
          <w:sz w:val="28"/>
          <w:szCs w:val="28"/>
        </w:rPr>
        <w:t>161</w:t>
      </w:r>
      <w:r>
        <w:rPr>
          <w:rFonts w:asciiTheme="minorEastAsia" w:hAnsiTheme="minorEastAsia" w:eastAsiaTheme="minorEastAsia"/>
          <w:b w:val="0"/>
          <w:sz w:val="28"/>
          <w:szCs w:val="28"/>
        </w:rPr>
        <w:fldChar w:fldCharType="end"/>
      </w:r>
      <w:r>
        <w:rPr>
          <w:rFonts w:asciiTheme="minorEastAsia" w:hAnsiTheme="minorEastAsia" w:eastAsiaTheme="minorEastAsia"/>
          <w:b w:val="0"/>
          <w:sz w:val="28"/>
          <w:szCs w:val="28"/>
        </w:rPr>
        <w:fldChar w:fldCharType="end"/>
      </w:r>
    </w:p>
    <w:p>
      <w:pPr>
        <w:pStyle w:val="2"/>
        <w:rPr>
          <w:rFonts w:ascii="仿宋_GB2312" w:hAnsi="宋体" w:eastAsia="仿宋_GB2312"/>
        </w:rPr>
      </w:pPr>
      <w:r>
        <w:rPr>
          <w:rFonts w:hint="eastAsia" w:asciiTheme="minorEastAsia" w:hAnsiTheme="minorEastAsia" w:eastAsiaTheme="minorEastAsia"/>
          <w:caps/>
          <w:color w:val="FF0000"/>
          <w:sz w:val="28"/>
          <w:szCs w:val="28"/>
        </w:rPr>
        <w:fldChar w:fldCharType="end"/>
      </w:r>
      <w:permEnd w:id="16"/>
      <w:r>
        <w:rPr>
          <w:rFonts w:hint="eastAsia" w:ascii="仿宋_GB2312" w:eastAsia="仿宋_GB2312"/>
          <w:sz w:val="28"/>
          <w:szCs w:val="28"/>
        </w:rPr>
        <w:br w:type="page"/>
      </w:r>
      <w:bookmarkStart w:id="1" w:name="_Toc200336327"/>
      <w:bookmarkStart w:id="2" w:name="_Toc47451000"/>
      <w:r>
        <w:rPr>
          <w:rFonts w:hint="eastAsia" w:ascii="仿宋_GB2312" w:hAnsi="宋体" w:eastAsia="仿宋_GB2312"/>
          <w:b/>
          <w:sz w:val="36"/>
          <w:szCs w:val="36"/>
        </w:rPr>
        <w:t>第一章 投标须知</w:t>
      </w:r>
      <w:bookmarkEnd w:id="1"/>
      <w:bookmarkEnd w:id="2"/>
      <w:bookmarkStart w:id="3" w:name="_一、投标须知前附表"/>
      <w:bookmarkEnd w:id="3"/>
      <w:bookmarkStart w:id="4" w:name="_Toc200336328"/>
      <w:bookmarkStart w:id="5" w:name="_Toc171741987"/>
    </w:p>
    <w:p>
      <w:pPr>
        <w:pStyle w:val="3"/>
        <w:spacing w:before="0" w:after="0" w:line="240" w:lineRule="auto"/>
        <w:ind w:left="397"/>
        <w:rPr>
          <w:rFonts w:ascii="仿宋_GB2312" w:hAnsi="华文仿宋" w:eastAsia="仿宋_GB2312"/>
          <w:b w:val="0"/>
          <w:bCs/>
          <w:sz w:val="28"/>
          <w:szCs w:val="44"/>
        </w:rPr>
      </w:pPr>
      <w:r>
        <w:rPr>
          <w:rFonts w:hint="eastAsia" w:ascii="仿宋_GB2312" w:hAnsi="华文仿宋" w:eastAsia="仿宋_GB2312"/>
          <w:b w:val="0"/>
          <w:bCs/>
          <w:sz w:val="28"/>
          <w:szCs w:val="44"/>
        </w:rPr>
        <w:t>（一）前附表1</w:t>
      </w:r>
      <w:bookmarkEnd w:id="4"/>
      <w:bookmarkEnd w:id="5"/>
    </w:p>
    <w:tbl>
      <w:tblPr>
        <w:tblStyle w:val="49"/>
        <w:tblW w:w="1035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7"/>
        <w:gridCol w:w="2101"/>
        <w:gridCol w:w="747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ind w:right="-358"/>
              <w:rPr>
                <w:rFonts w:ascii="仿宋_GB2312" w:eastAsia="仿宋_GB2312"/>
                <w:sz w:val="28"/>
                <w:szCs w:val="28"/>
              </w:rPr>
            </w:pPr>
            <w:r>
              <w:rPr>
                <w:rFonts w:hint="eastAsia" w:ascii="仿宋_GB2312" w:hAnsi="宋体" w:eastAsia="仿宋_GB2312"/>
                <w:sz w:val="28"/>
                <w:szCs w:val="28"/>
              </w:rPr>
              <w:t>序号</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eastAsia="仿宋_GB2312"/>
                <w:sz w:val="28"/>
                <w:szCs w:val="28"/>
              </w:rPr>
            </w:pPr>
            <w:r>
              <w:rPr>
                <w:rFonts w:hint="eastAsia" w:ascii="仿宋_GB2312" w:eastAsia="仿宋_GB2312"/>
                <w:sz w:val="28"/>
                <w:szCs w:val="28"/>
              </w:rPr>
              <w:t>序列名称</w:t>
            </w:r>
          </w:p>
        </w:tc>
        <w:tc>
          <w:tcPr>
            <w:tcW w:w="7477" w:type="dxa"/>
            <w:tcBorders>
              <w:top w:val="single" w:color="auto" w:sz="4" w:space="0"/>
              <w:left w:val="single" w:color="auto" w:sz="4" w:space="0"/>
              <w:bottom w:val="single" w:color="auto" w:sz="4" w:space="0"/>
              <w:right w:val="single" w:color="auto" w:sz="4" w:space="0"/>
            </w:tcBorders>
            <w:vAlign w:val="center"/>
          </w:tcPr>
          <w:p>
            <w:pPr>
              <w:tabs>
                <w:tab w:val="left" w:pos="1180"/>
              </w:tabs>
              <w:adjustRightInd w:val="0"/>
              <w:snapToGrid w:val="0"/>
              <w:spacing w:beforeLines="20" w:afterLines="20" w:line="320" w:lineRule="exact"/>
              <w:jc w:val="center"/>
              <w:rPr>
                <w:rFonts w:ascii="仿宋_GB2312" w:eastAsia="仿宋_GB2312"/>
                <w:sz w:val="28"/>
                <w:szCs w:val="28"/>
              </w:rPr>
            </w:pPr>
            <w:r>
              <w:rPr>
                <w:rFonts w:hint="eastAsia" w:ascii="仿宋_GB2312" w:eastAsia="仿宋_GB2312"/>
                <w:sz w:val="28"/>
                <w:szCs w:val="28"/>
              </w:rPr>
              <w:t>序列内容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eastAsia="仿宋_GB2312"/>
                <w:sz w:val="24"/>
              </w:rPr>
            </w:pPr>
            <w:permStart w:id="17" w:edGrp="everyone" w:colFirst="1" w:colLast="1"/>
            <w:permStart w:id="18" w:edGrp="everyone" w:colFirst="2" w:colLast="2"/>
            <w:r>
              <w:rPr>
                <w:rFonts w:hint="eastAsia" w:ascii="仿宋_GB2312" w:eastAsia="仿宋_GB2312"/>
                <w:sz w:val="24"/>
              </w:rPr>
              <w:t>1</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工程名称</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rPr>
                <w:rFonts w:ascii="仿宋_GB2312" w:hAnsi="宋体" w:eastAsia="仿宋_GB2312"/>
                <w:color w:val="FF0000"/>
                <w:sz w:val="24"/>
              </w:rPr>
            </w:pPr>
          </w:p>
        </w:tc>
      </w:tr>
      <w:permEnd w:id="17"/>
      <w:permEnd w:id="1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eastAsia="仿宋_GB2312"/>
                <w:sz w:val="24"/>
              </w:rPr>
            </w:pPr>
            <w:permStart w:id="19" w:edGrp="everyone" w:colFirst="1" w:colLast="1"/>
            <w:permStart w:id="20" w:edGrp="everyone" w:colFirst="2" w:colLast="2"/>
            <w:r>
              <w:rPr>
                <w:rFonts w:hint="eastAsia" w:ascii="仿宋_GB2312" w:eastAsia="仿宋_GB2312"/>
                <w:sz w:val="24"/>
              </w:rPr>
              <w:t>2</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建设地点</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rPr>
                <w:rFonts w:ascii="仿宋_GB2312" w:hAnsi="宋体" w:eastAsia="仿宋_GB2312"/>
                <w:color w:val="FF0000"/>
                <w:sz w:val="24"/>
              </w:rPr>
            </w:pPr>
          </w:p>
        </w:tc>
      </w:tr>
      <w:permEnd w:id="19"/>
      <w:permEnd w:id="2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eastAsia="仿宋_GB2312"/>
                <w:sz w:val="24"/>
              </w:rPr>
            </w:pPr>
            <w:permStart w:id="21" w:edGrp="everyone" w:colFirst="1" w:colLast="1"/>
            <w:permStart w:id="22" w:edGrp="everyone" w:colFirst="2" w:colLast="2"/>
            <w:r>
              <w:rPr>
                <w:rFonts w:hint="eastAsia" w:ascii="仿宋_GB2312" w:eastAsia="仿宋_GB2312"/>
                <w:sz w:val="24"/>
              </w:rPr>
              <w:t>3</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招标人</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rPr>
                <w:rFonts w:ascii="仿宋_GB2312" w:hAnsi="宋体" w:eastAsia="仿宋_GB2312"/>
                <w:color w:val="FF0000"/>
                <w:sz w:val="24"/>
              </w:rPr>
            </w:pPr>
          </w:p>
        </w:tc>
      </w:tr>
      <w:permEnd w:id="21"/>
      <w:permEnd w:id="2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eastAsia="仿宋_GB2312"/>
                <w:sz w:val="24"/>
              </w:rPr>
            </w:pPr>
            <w:permStart w:id="23" w:edGrp="everyone" w:colFirst="1" w:colLast="1"/>
            <w:permStart w:id="24" w:edGrp="everyone" w:colFirst="2" w:colLast="2"/>
            <w:r>
              <w:rPr>
                <w:rFonts w:hint="eastAsia" w:ascii="仿宋_GB2312" w:eastAsia="仿宋_GB2312"/>
                <w:sz w:val="24"/>
              </w:rPr>
              <w:t>4</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工程设计单位</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rPr>
                <w:rFonts w:ascii="仿宋_GB2312" w:hAnsi="宋体" w:eastAsia="仿宋_GB2312"/>
                <w:color w:val="FF0000"/>
                <w:sz w:val="24"/>
              </w:rPr>
            </w:pPr>
          </w:p>
        </w:tc>
      </w:tr>
      <w:permEnd w:id="23"/>
      <w:permEnd w:id="2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eastAsia="仿宋_GB2312"/>
                <w:sz w:val="24"/>
              </w:rPr>
            </w:pPr>
            <w:permStart w:id="25" w:edGrp="everyone" w:colFirst="1" w:colLast="1"/>
            <w:permStart w:id="26" w:edGrp="everyone" w:colFirst="2" w:colLast="2"/>
            <w:r>
              <w:rPr>
                <w:rFonts w:hint="eastAsia" w:ascii="仿宋_GB2312" w:eastAsia="仿宋_GB2312"/>
                <w:sz w:val="24"/>
              </w:rPr>
              <w:t>5</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工程概况</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rPr>
                <w:rFonts w:ascii="仿宋_GB2312" w:hAnsi="宋体" w:eastAsia="仿宋_GB2312"/>
                <w:color w:val="FF0000"/>
                <w:sz w:val="24"/>
              </w:rPr>
            </w:pPr>
          </w:p>
        </w:tc>
      </w:tr>
      <w:permEnd w:id="25"/>
      <w:permEnd w:id="2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8"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eastAsia="仿宋_GB2312"/>
                <w:sz w:val="24"/>
              </w:rPr>
            </w:pPr>
            <w:permStart w:id="27" w:edGrp="everyone" w:colFirst="1" w:colLast="1"/>
            <w:permStart w:id="28" w:edGrp="everyone" w:colFirst="2" w:colLast="2"/>
            <w:r>
              <w:rPr>
                <w:rFonts w:hint="eastAsia" w:ascii="仿宋_GB2312" w:eastAsia="仿宋_GB2312"/>
                <w:sz w:val="24"/>
              </w:rPr>
              <w:t>6</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招标范围</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rPr>
                <w:rFonts w:ascii="仿宋_GB2312" w:hAnsi="宋体" w:eastAsia="仿宋_GB2312"/>
                <w:color w:val="FF0000"/>
                <w:sz w:val="24"/>
              </w:rPr>
            </w:pPr>
          </w:p>
        </w:tc>
      </w:tr>
      <w:permEnd w:id="27"/>
      <w:permEnd w:id="2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eastAsia="仿宋_GB2312"/>
                <w:sz w:val="24"/>
              </w:rPr>
            </w:pPr>
            <w:permStart w:id="29" w:edGrp="everyone" w:colFirst="1" w:colLast="1"/>
            <w:permStart w:id="30" w:edGrp="everyone" w:colFirst="2" w:colLast="2"/>
            <w:r>
              <w:rPr>
                <w:rFonts w:hint="eastAsia" w:ascii="仿宋_GB2312" w:eastAsia="仿宋_GB2312"/>
                <w:sz w:val="24"/>
              </w:rPr>
              <w:t>7</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标段划分</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rPr>
                <w:rFonts w:ascii="仿宋_GB2312" w:hAnsi="宋体" w:eastAsia="仿宋_GB2312"/>
                <w:color w:val="FF0000"/>
                <w:sz w:val="24"/>
              </w:rPr>
            </w:pPr>
          </w:p>
        </w:tc>
      </w:tr>
      <w:permEnd w:id="29"/>
      <w:permEnd w:id="3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eastAsia="仿宋_GB2312"/>
                <w:sz w:val="24"/>
              </w:rPr>
            </w:pPr>
            <w:permStart w:id="31" w:edGrp="everyone" w:colFirst="1" w:colLast="1"/>
            <w:permStart w:id="32" w:edGrp="everyone" w:colFirst="2" w:colLast="2"/>
            <w:r>
              <w:rPr>
                <w:rFonts w:hint="eastAsia" w:ascii="仿宋_GB2312" w:eastAsia="仿宋_GB2312"/>
                <w:sz w:val="24"/>
              </w:rPr>
              <w:t>8</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承包方式</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仿宋_GB2312" w:hAnsi="宋体" w:eastAsia="仿宋_GB2312"/>
                <w:color w:val="FF0000"/>
                <w:sz w:val="24"/>
              </w:rPr>
            </w:pPr>
          </w:p>
        </w:tc>
      </w:tr>
      <w:permEnd w:id="31"/>
      <w:permEnd w:id="3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eastAsia="仿宋_GB2312"/>
                <w:sz w:val="24"/>
              </w:rPr>
            </w:pPr>
            <w:permStart w:id="33" w:edGrp="everyone" w:colFirst="1" w:colLast="1"/>
            <w:permStart w:id="34" w:edGrp="everyone" w:colFirst="2" w:colLast="2"/>
            <w:r>
              <w:rPr>
                <w:rFonts w:hint="eastAsia" w:ascii="仿宋_GB2312" w:eastAsia="仿宋_GB2312"/>
                <w:sz w:val="24"/>
              </w:rPr>
              <w:t>9</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是否允许</w:t>
            </w:r>
          </w:p>
          <w:p>
            <w:pPr>
              <w:adjustRightInd w:val="0"/>
              <w:snapToGrid w:val="0"/>
              <w:spacing w:line="3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联合体投标</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仿宋_GB2312" w:hAnsi="宋体" w:eastAsia="仿宋_GB2312"/>
                <w:color w:val="FF0000"/>
                <w:sz w:val="24"/>
              </w:rPr>
            </w:pPr>
            <w:r>
              <w:rPr>
                <w:rFonts w:hint="eastAsia" w:ascii="仿宋_GB2312" w:hAnsi="宋体" w:eastAsia="仿宋_GB2312"/>
                <w:color w:val="FF0000"/>
                <w:sz w:val="24"/>
              </w:rPr>
              <w:t>本工程招标</w:t>
            </w:r>
            <w:r>
              <w:rPr>
                <w:rFonts w:hint="eastAsia" w:ascii="仿宋_GB2312" w:hAnsi="宋体" w:eastAsia="仿宋_GB2312"/>
                <w:color w:val="FF0000"/>
                <w:sz w:val="24"/>
                <w:u w:val="single"/>
              </w:rPr>
              <w:t xml:space="preserve">               </w:t>
            </w:r>
            <w:r>
              <w:rPr>
                <w:rFonts w:hint="eastAsia" w:ascii="黑体" w:hAnsi="宋体" w:eastAsia="黑体"/>
                <w:color w:val="FF0000"/>
                <w:sz w:val="24"/>
              </w:rPr>
              <w:t>联合体</w:t>
            </w:r>
            <w:r>
              <w:rPr>
                <w:rFonts w:hint="eastAsia" w:ascii="仿宋_GB2312" w:hAnsi="宋体" w:eastAsia="仿宋_GB2312"/>
                <w:color w:val="FF0000"/>
                <w:sz w:val="24"/>
              </w:rPr>
              <w:t>投标</w:t>
            </w:r>
          </w:p>
        </w:tc>
      </w:tr>
      <w:permEnd w:id="33"/>
      <w:permEnd w:id="3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eastAsia="仿宋_GB2312"/>
                <w:sz w:val="24"/>
              </w:rPr>
            </w:pPr>
            <w:permStart w:id="35" w:edGrp="everyone" w:colFirst="1" w:colLast="1"/>
            <w:permStart w:id="36" w:edGrp="everyone" w:colFirst="2" w:colLast="2"/>
            <w:r>
              <w:rPr>
                <w:rFonts w:hint="eastAsia" w:ascii="仿宋_GB2312" w:eastAsia="仿宋_GB2312"/>
                <w:sz w:val="24"/>
              </w:rPr>
              <w:t>10</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资金来源</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ind w:left="240" w:hanging="240" w:hangingChars="100"/>
              <w:rPr>
                <w:rFonts w:ascii="仿宋_GB2312" w:hAnsi="宋体" w:eastAsia="仿宋_GB2312"/>
                <w:color w:val="FF0000"/>
                <w:sz w:val="24"/>
                <w:u w:val="single"/>
              </w:rPr>
            </w:pPr>
          </w:p>
        </w:tc>
      </w:tr>
      <w:permEnd w:id="35"/>
      <w:permEnd w:id="3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eastAsia="仿宋_GB2312"/>
                <w:sz w:val="24"/>
              </w:rPr>
            </w:pPr>
            <w:permStart w:id="37" w:edGrp="everyone" w:colFirst="1" w:colLast="1"/>
            <w:permStart w:id="38" w:edGrp="everyone" w:colFirst="2" w:colLast="2"/>
            <w:r>
              <w:rPr>
                <w:rFonts w:hint="eastAsia" w:ascii="仿宋_GB2312" w:eastAsia="仿宋_GB2312"/>
                <w:sz w:val="24"/>
              </w:rPr>
              <w:t>11</w:t>
            </w:r>
          </w:p>
        </w:tc>
        <w:tc>
          <w:tcPr>
            <w:tcW w:w="2101" w:type="dxa"/>
            <w:tcBorders>
              <w:top w:val="single" w:color="auto" w:sz="4" w:space="0"/>
              <w:left w:val="single" w:color="auto" w:sz="4" w:space="0"/>
              <w:bottom w:val="single" w:color="auto" w:sz="4" w:space="0"/>
              <w:right w:val="single" w:color="auto" w:sz="4" w:space="0"/>
            </w:tcBorders>
            <w:vAlign w:val="center"/>
          </w:tcPr>
          <w:p>
            <w:pPr>
              <w:pStyle w:val="28"/>
              <w:adjustRightInd w:val="0"/>
              <w:snapToGrid w:val="0"/>
              <w:spacing w:line="300" w:lineRule="exact"/>
              <w:jc w:val="center"/>
              <w:rPr>
                <w:rFonts w:ascii="仿宋_GB2312" w:hAnsi="宋体" w:eastAsia="仿宋_GB2312"/>
                <w:color w:val="000000" w:themeColor="text1"/>
                <w:szCs w:val="24"/>
              </w:rPr>
            </w:pPr>
            <w:r>
              <w:rPr>
                <w:rFonts w:hint="eastAsia" w:ascii="仿宋_GB2312" w:hAnsi="宋体" w:eastAsia="仿宋_GB2312"/>
                <w:color w:val="000000" w:themeColor="text1"/>
                <w:szCs w:val="24"/>
              </w:rPr>
              <w:t>计价方式</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仿宋_GB2312" w:hAnsi="宋体" w:eastAsia="仿宋_GB2312"/>
                <w:color w:val="FF0000"/>
                <w:sz w:val="24"/>
              </w:rPr>
            </w:pPr>
            <w:r>
              <w:rPr>
                <w:rFonts w:hint="eastAsia" w:ascii="仿宋_GB2312" w:hAnsi="宋体" w:eastAsia="仿宋_GB2312"/>
                <w:color w:val="FF0000"/>
                <w:sz w:val="24"/>
              </w:rPr>
              <w:t>采用</w:t>
            </w:r>
            <w:r>
              <w:rPr>
                <w:rFonts w:hint="eastAsia" w:ascii="仿宋_GB2312" w:hAnsi="宋体" w:eastAsia="仿宋_GB2312"/>
                <w:b/>
                <w:color w:val="00B0F0"/>
                <w:sz w:val="24"/>
                <w:u w:val="single"/>
              </w:rPr>
              <w:t>全费用综合单价</w:t>
            </w:r>
            <w:r>
              <w:rPr>
                <w:rFonts w:hint="eastAsia" w:ascii="仿宋_GB2312" w:hAnsi="宋体" w:eastAsia="仿宋_GB2312"/>
                <w:color w:val="FF0000"/>
                <w:sz w:val="24"/>
              </w:rPr>
              <w:t>报价法。</w:t>
            </w:r>
          </w:p>
          <w:p>
            <w:pPr>
              <w:adjustRightInd w:val="0"/>
              <w:snapToGrid w:val="0"/>
              <w:spacing w:line="260" w:lineRule="exact"/>
              <w:rPr>
                <w:rFonts w:ascii="仿宋_GB2312" w:hAnsi="宋体" w:eastAsia="仿宋_GB2312"/>
                <w:color w:val="00B0F0"/>
                <w:sz w:val="24"/>
              </w:rPr>
            </w:pPr>
            <w:r>
              <w:rPr>
                <w:rFonts w:hint="eastAsia" w:ascii="仿宋_GB2312" w:eastAsia="仿宋_GB2312"/>
                <w:color w:val="00B0F0"/>
                <w:sz w:val="24"/>
              </w:rPr>
              <w:t>说明：投标人的报价为综合单价：综合单价是指完成本工程项目的全费用综合单价，其组成包括人工费、材料费、机械费、管理费、规费、税金、措施费、利润、施工工期内的风险费用等为完成本工程项目所需发生的一切费用；</w:t>
            </w:r>
          </w:p>
        </w:tc>
      </w:tr>
      <w:permEnd w:id="37"/>
      <w:permEnd w:id="3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1"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eastAsia="仿宋_GB2312"/>
                <w:sz w:val="24"/>
              </w:rPr>
            </w:pPr>
            <w:permStart w:id="39" w:edGrp="everyone" w:colFirst="1" w:colLast="1"/>
            <w:permStart w:id="40" w:edGrp="everyone" w:colFirst="2" w:colLast="2"/>
            <w:r>
              <w:rPr>
                <w:rFonts w:hint="eastAsia" w:ascii="仿宋_GB2312" w:eastAsia="仿宋_GB2312"/>
                <w:sz w:val="24"/>
              </w:rPr>
              <w:t>12</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工程工期</w:t>
            </w:r>
          </w:p>
        </w:tc>
        <w:tc>
          <w:tcPr>
            <w:tcW w:w="7477" w:type="dxa"/>
            <w:tcBorders>
              <w:top w:val="single" w:color="auto" w:sz="4" w:space="0"/>
              <w:left w:val="single" w:color="auto" w:sz="4" w:space="0"/>
              <w:bottom w:val="single" w:color="auto" w:sz="4" w:space="0"/>
              <w:right w:val="single" w:color="auto" w:sz="4" w:space="0"/>
            </w:tcBorders>
            <w:vAlign w:val="center"/>
          </w:tcPr>
          <w:p>
            <w:pPr>
              <w:pStyle w:val="89"/>
              <w:widowControl w:val="0"/>
              <w:spacing w:before="0" w:beforeAutospacing="0" w:after="0" w:afterAutospacing="0" w:line="260" w:lineRule="exact"/>
              <w:jc w:val="both"/>
              <w:rPr>
                <w:rFonts w:ascii="仿宋_GB2312" w:eastAsia="仿宋_GB2312"/>
                <w:color w:val="FF0000"/>
              </w:rPr>
            </w:pPr>
            <w:r>
              <w:rPr>
                <w:rFonts w:hint="eastAsia" w:ascii="仿宋_GB2312" w:eastAsia="仿宋_GB2312"/>
                <w:color w:val="FF0000"/>
              </w:rPr>
              <w:t>□合同工期：</w:t>
            </w:r>
            <w:r>
              <w:rPr>
                <w:rFonts w:hint="eastAsia" w:ascii="仿宋_GB2312" w:eastAsia="仿宋_GB2312"/>
                <w:color w:val="FF0000"/>
                <w:u w:val="single"/>
              </w:rPr>
              <w:t xml:space="preserve">    </w:t>
            </w:r>
            <w:r>
              <w:rPr>
                <w:rFonts w:hint="eastAsia" w:ascii="仿宋_GB2312" w:eastAsia="仿宋_GB2312"/>
                <w:color w:val="FF0000"/>
                <w:kern w:val="2"/>
              </w:rPr>
              <w:t>个日历天</w:t>
            </w:r>
          </w:p>
          <w:p>
            <w:pPr>
              <w:pStyle w:val="89"/>
              <w:spacing w:before="0" w:beforeAutospacing="0" w:after="0" w:afterAutospacing="0" w:line="260" w:lineRule="exact"/>
              <w:jc w:val="both"/>
              <w:rPr>
                <w:rFonts w:ascii="仿宋_GB2312" w:eastAsia="仿宋_GB2312"/>
                <w:color w:val="FF0000"/>
                <w:u w:val="single"/>
              </w:rPr>
            </w:pPr>
            <w:r>
              <w:rPr>
                <w:rFonts w:hint="eastAsia" w:ascii="仿宋_GB2312" w:eastAsia="仿宋_GB2312"/>
                <w:color w:val="FF0000"/>
              </w:rPr>
              <w:t>□预计开竣工日期：</w:t>
            </w:r>
            <w:r>
              <w:rPr>
                <w:rFonts w:hint="eastAsia" w:ascii="仿宋_GB2312" w:eastAsia="仿宋_GB2312"/>
                <w:color w:val="FF0000"/>
                <w:u w:val="single"/>
              </w:rPr>
              <w:t xml:space="preserve">   年   月  日至   年   月   日</w:t>
            </w:r>
          </w:p>
          <w:p>
            <w:pPr>
              <w:pStyle w:val="89"/>
              <w:spacing w:before="0" w:beforeAutospacing="0" w:after="0" w:afterAutospacing="0" w:line="260" w:lineRule="exact"/>
              <w:jc w:val="both"/>
              <w:rPr>
                <w:rFonts w:ascii="仿宋_GB2312" w:eastAsia="仿宋_GB2312"/>
                <w:color w:val="FF0000"/>
              </w:rPr>
            </w:pPr>
            <w:r>
              <w:rPr>
                <w:rFonts w:hint="eastAsia" w:ascii="仿宋_GB2312" w:eastAsia="仿宋_GB2312"/>
                <w:color w:val="FF0000"/>
              </w:rPr>
              <w:t>（具体开工时间以业主开工令为准）</w:t>
            </w:r>
          </w:p>
        </w:tc>
      </w:tr>
      <w:permEnd w:id="39"/>
      <w:permEnd w:id="4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1"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eastAsia="仿宋_GB2312"/>
                <w:sz w:val="24"/>
              </w:rPr>
            </w:pPr>
            <w:permStart w:id="41" w:edGrp="everyone" w:colFirst="1" w:colLast="1"/>
            <w:permStart w:id="42" w:edGrp="everyone" w:colFirst="2" w:colLast="2"/>
            <w:r>
              <w:rPr>
                <w:rFonts w:hint="eastAsia" w:ascii="仿宋_GB2312" w:eastAsia="仿宋_GB2312"/>
                <w:sz w:val="24"/>
              </w:rPr>
              <w:t>13</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质量标准要求</w:t>
            </w:r>
          </w:p>
        </w:tc>
        <w:tc>
          <w:tcPr>
            <w:tcW w:w="7477" w:type="dxa"/>
            <w:tcBorders>
              <w:top w:val="single" w:color="auto" w:sz="4" w:space="0"/>
              <w:left w:val="single" w:color="auto" w:sz="4" w:space="0"/>
              <w:bottom w:val="single" w:color="auto" w:sz="4" w:space="0"/>
              <w:right w:val="single" w:color="auto" w:sz="4" w:space="0"/>
            </w:tcBorders>
            <w:vAlign w:val="center"/>
          </w:tcPr>
          <w:p>
            <w:pPr>
              <w:pStyle w:val="89"/>
              <w:tabs>
                <w:tab w:val="left" w:pos="1152"/>
              </w:tabs>
              <w:spacing w:before="0" w:beforeAutospacing="0" w:after="0" w:afterAutospacing="0" w:line="300" w:lineRule="exact"/>
              <w:ind w:left="1200" w:hanging="1200" w:hangingChars="500"/>
              <w:jc w:val="both"/>
              <w:rPr>
                <w:rFonts w:ascii="仿宋_GB2312" w:eastAsia="仿宋_GB2312"/>
                <w:color w:val="FF0000"/>
                <w:u w:val="single"/>
              </w:rPr>
            </w:pPr>
            <w:r>
              <w:rPr>
                <w:rFonts w:hint="eastAsia" w:ascii="仿宋_GB2312" w:eastAsia="仿宋_GB2312"/>
                <w:color w:val="FF0000"/>
              </w:rPr>
              <w:t>质量标准：</w:t>
            </w:r>
            <w:r>
              <w:rPr>
                <w:rFonts w:hint="eastAsia" w:ascii="仿宋_GB2312" w:eastAsia="仿宋_GB2312"/>
                <w:color w:val="FF0000"/>
                <w:u w:val="single"/>
              </w:rPr>
              <w:t xml:space="preserve">               </w:t>
            </w:r>
          </w:p>
        </w:tc>
      </w:tr>
      <w:permEnd w:id="41"/>
      <w:permEnd w:id="4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1"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eastAsia="仿宋_GB2312"/>
                <w:sz w:val="24"/>
              </w:rPr>
            </w:pPr>
            <w:permStart w:id="43" w:edGrp="everyone" w:colFirst="1" w:colLast="1"/>
            <w:permStart w:id="44" w:edGrp="everyone" w:colFirst="2" w:colLast="2"/>
            <w:r>
              <w:rPr>
                <w:rFonts w:hint="eastAsia" w:ascii="仿宋_GB2312" w:eastAsia="仿宋_GB2312"/>
                <w:sz w:val="24"/>
              </w:rPr>
              <w:t>14</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预留金</w:t>
            </w:r>
          </w:p>
        </w:tc>
        <w:tc>
          <w:tcPr>
            <w:tcW w:w="7477" w:type="dxa"/>
            <w:tcBorders>
              <w:top w:val="single" w:color="auto" w:sz="4" w:space="0"/>
              <w:left w:val="single" w:color="auto" w:sz="4" w:space="0"/>
              <w:bottom w:val="single" w:color="auto" w:sz="4" w:space="0"/>
              <w:right w:val="single" w:color="auto" w:sz="4" w:space="0"/>
            </w:tcBorders>
            <w:vAlign w:val="center"/>
          </w:tcPr>
          <w:p>
            <w:pPr>
              <w:pStyle w:val="89"/>
              <w:tabs>
                <w:tab w:val="left" w:pos="1152"/>
              </w:tabs>
              <w:spacing w:before="0" w:beforeAutospacing="0" w:after="0" w:afterAutospacing="0" w:line="300" w:lineRule="exact"/>
              <w:ind w:left="1200" w:hanging="1200" w:hangingChars="500"/>
              <w:jc w:val="both"/>
              <w:rPr>
                <w:rFonts w:ascii="仿宋_GB2312" w:eastAsia="仿宋_GB2312"/>
                <w:color w:val="FF0000"/>
              </w:rPr>
            </w:pPr>
          </w:p>
        </w:tc>
      </w:tr>
      <w:permEnd w:id="43"/>
      <w:permEnd w:id="4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jc w:val="center"/>
              <w:rPr>
                <w:rFonts w:ascii="仿宋_GB2312" w:hAnsi="Times New Roman" w:eastAsia="仿宋_GB2312"/>
              </w:rPr>
            </w:pPr>
            <w:permStart w:id="45" w:edGrp="everyone" w:colFirst="1" w:colLast="1"/>
            <w:permStart w:id="46" w:edGrp="everyone" w:colFirst="2" w:colLast="2"/>
            <w:r>
              <w:rPr>
                <w:rFonts w:hint="eastAsia" w:ascii="仿宋_GB2312" w:hAnsi="Times New Roman" w:eastAsia="仿宋_GB2312"/>
              </w:rPr>
              <w:t>15</w:t>
            </w:r>
          </w:p>
        </w:tc>
        <w:tc>
          <w:tcPr>
            <w:tcW w:w="2101" w:type="dxa"/>
            <w:tcBorders>
              <w:top w:val="single" w:color="auto" w:sz="4" w:space="0"/>
              <w:left w:val="single" w:color="auto" w:sz="4" w:space="0"/>
              <w:bottom w:val="single" w:color="auto" w:sz="4" w:space="0"/>
              <w:right w:val="single" w:color="auto" w:sz="4" w:space="0"/>
            </w:tcBorders>
            <w:vAlign w:val="center"/>
          </w:tcPr>
          <w:p>
            <w:pPr>
              <w:pStyle w:val="89"/>
              <w:widowControl w:val="0"/>
              <w:spacing w:before="0" w:beforeAutospacing="0" w:after="0" w:afterAutospacing="0" w:line="300" w:lineRule="exact"/>
              <w:jc w:val="center"/>
              <w:rPr>
                <w:rStyle w:val="52"/>
                <w:rFonts w:ascii="仿宋_GB2312" w:eastAsia="仿宋_GB2312"/>
                <w:b w:val="0"/>
                <w:color w:val="000000" w:themeColor="text1"/>
              </w:rPr>
            </w:pPr>
            <w:r>
              <w:rPr>
                <w:rStyle w:val="52"/>
                <w:rFonts w:hint="eastAsia" w:ascii="仿宋_GB2312" w:eastAsia="仿宋_GB2312"/>
                <w:b w:val="0"/>
                <w:color w:val="000000" w:themeColor="text1"/>
              </w:rPr>
              <w:t>评标定标办法</w:t>
            </w:r>
          </w:p>
        </w:tc>
        <w:tc>
          <w:tcPr>
            <w:tcW w:w="7477"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仿宋" w:hAnsi="仿宋" w:eastAsia="仿宋"/>
                <w:color w:val="FF0000"/>
                <w:sz w:val="24"/>
              </w:rPr>
            </w:pPr>
          </w:p>
        </w:tc>
      </w:tr>
      <w:permEnd w:id="45"/>
      <w:permEnd w:id="4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jc w:val="center"/>
              <w:rPr>
                <w:rFonts w:ascii="仿宋_GB2312" w:hAnsi="Times New Roman" w:eastAsia="仿宋_GB2312"/>
              </w:rPr>
            </w:pPr>
            <w:permStart w:id="47" w:edGrp="everyone" w:colFirst="1" w:colLast="1"/>
            <w:permStart w:id="48" w:edGrp="everyone" w:colFirst="2" w:colLast="2"/>
            <w:r>
              <w:rPr>
                <w:rFonts w:hint="eastAsia" w:ascii="仿宋_GB2312" w:hAnsi="Times New Roman" w:eastAsia="仿宋_GB2312"/>
              </w:rPr>
              <w:t>16</w:t>
            </w:r>
          </w:p>
        </w:tc>
        <w:tc>
          <w:tcPr>
            <w:tcW w:w="2101" w:type="dxa"/>
            <w:tcBorders>
              <w:top w:val="single" w:color="auto" w:sz="4" w:space="0"/>
              <w:left w:val="single" w:color="auto" w:sz="4" w:space="0"/>
              <w:bottom w:val="single" w:color="auto" w:sz="4" w:space="0"/>
              <w:right w:val="single" w:color="auto" w:sz="4" w:space="0"/>
            </w:tcBorders>
            <w:vAlign w:val="center"/>
          </w:tcPr>
          <w:p>
            <w:pPr>
              <w:pStyle w:val="89"/>
              <w:widowControl w:val="0"/>
              <w:spacing w:before="0" w:beforeAutospacing="0" w:after="0" w:afterAutospacing="0" w:line="300" w:lineRule="exact"/>
              <w:jc w:val="center"/>
              <w:rPr>
                <w:rStyle w:val="52"/>
                <w:rFonts w:ascii="仿宋_GB2312" w:eastAsia="仿宋_GB2312"/>
                <w:b w:val="0"/>
                <w:color w:val="000000" w:themeColor="text1"/>
              </w:rPr>
            </w:pPr>
            <w:r>
              <w:rPr>
                <w:rStyle w:val="52"/>
                <w:rFonts w:hint="eastAsia" w:ascii="仿宋_GB2312" w:eastAsia="仿宋_GB2312"/>
                <w:b w:val="0"/>
                <w:color w:val="000000" w:themeColor="text1"/>
              </w:rPr>
              <w:t>资格审查方式</w:t>
            </w:r>
          </w:p>
        </w:tc>
        <w:tc>
          <w:tcPr>
            <w:tcW w:w="7477" w:type="dxa"/>
            <w:tcBorders>
              <w:top w:val="single" w:color="auto" w:sz="4" w:space="0"/>
              <w:left w:val="single" w:color="auto" w:sz="4" w:space="0"/>
              <w:bottom w:val="single" w:color="auto" w:sz="4" w:space="0"/>
              <w:right w:val="single" w:color="auto" w:sz="4" w:space="0"/>
            </w:tcBorders>
            <w:vAlign w:val="center"/>
          </w:tcPr>
          <w:p>
            <w:pPr>
              <w:spacing w:line="300" w:lineRule="exact"/>
              <w:rPr>
                <w:rStyle w:val="52"/>
                <w:rFonts w:ascii="仿宋_GB2312" w:hAnsi="宋体" w:eastAsia="仿宋_GB2312"/>
                <w:b w:val="0"/>
                <w:color w:val="FF0000"/>
                <w:sz w:val="24"/>
              </w:rPr>
            </w:pPr>
            <w:r>
              <w:rPr>
                <w:rStyle w:val="52"/>
                <w:rFonts w:hint="eastAsia" w:ascii="仿宋_GB2312" w:hAnsi="宋体" w:eastAsia="仿宋_GB2312"/>
                <w:b w:val="0"/>
                <w:color w:val="FF0000"/>
                <w:sz w:val="24"/>
              </w:rPr>
              <w:t>资格</w:t>
            </w:r>
            <w:r>
              <w:rPr>
                <w:rStyle w:val="52"/>
                <w:rFonts w:hint="eastAsia" w:ascii="仿宋_GB2312" w:hAnsi="宋体" w:eastAsia="仿宋_GB2312"/>
                <w:b w:val="0"/>
                <w:color w:val="FF0000"/>
                <w:sz w:val="24"/>
                <w:u w:val="single"/>
              </w:rPr>
              <w:t xml:space="preserve">  </w:t>
            </w:r>
            <w:r>
              <w:rPr>
                <w:rStyle w:val="52"/>
                <w:rFonts w:hint="eastAsia" w:ascii="仿宋_GB2312" w:hAnsi="宋体" w:eastAsia="仿宋_GB2312"/>
                <w:b w:val="0"/>
                <w:color w:val="FF0000"/>
                <w:sz w:val="24"/>
              </w:rPr>
              <w:t>审</w:t>
            </w:r>
          </w:p>
        </w:tc>
      </w:tr>
      <w:permEnd w:id="47"/>
      <w:permEnd w:id="4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jc w:val="center"/>
              <w:rPr>
                <w:rFonts w:ascii="仿宋_GB2312" w:hAnsi="Times New Roman" w:eastAsia="仿宋_GB2312"/>
              </w:rPr>
            </w:pPr>
            <w:permStart w:id="49" w:edGrp="everyone" w:colFirst="1" w:colLast="1"/>
            <w:permStart w:id="50" w:edGrp="everyone" w:colFirst="2" w:colLast="2"/>
            <w:r>
              <w:rPr>
                <w:rFonts w:hint="eastAsia" w:ascii="仿宋_GB2312" w:hAnsi="Times New Roman" w:eastAsia="仿宋_GB2312"/>
              </w:rPr>
              <w:t>17</w:t>
            </w:r>
          </w:p>
        </w:tc>
        <w:tc>
          <w:tcPr>
            <w:tcW w:w="2101" w:type="dxa"/>
            <w:tcBorders>
              <w:top w:val="single" w:color="auto" w:sz="4" w:space="0"/>
              <w:left w:val="single" w:color="auto" w:sz="4" w:space="0"/>
              <w:bottom w:val="single" w:color="auto" w:sz="4" w:space="0"/>
              <w:right w:val="single" w:color="auto" w:sz="4" w:space="0"/>
            </w:tcBorders>
            <w:vAlign w:val="center"/>
          </w:tcPr>
          <w:p>
            <w:pPr>
              <w:pStyle w:val="89"/>
              <w:jc w:val="center"/>
              <w:rPr>
                <w:rFonts w:ascii="仿宋_GB2312" w:eastAsia="仿宋_GB2312"/>
                <w:color w:val="000000" w:themeColor="text1"/>
              </w:rPr>
            </w:pPr>
            <w:r>
              <w:rPr>
                <w:rFonts w:hint="eastAsia" w:ascii="仿宋_GB2312" w:eastAsia="仿宋_GB2312"/>
                <w:color w:val="000000" w:themeColor="text1"/>
              </w:rPr>
              <w:t>投标人资质等级要求</w:t>
            </w:r>
          </w:p>
        </w:tc>
        <w:tc>
          <w:tcPr>
            <w:tcW w:w="7477"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仿宋" w:hAnsi="仿宋" w:eastAsia="仿宋"/>
                <w:color w:val="FF0000"/>
                <w:sz w:val="24"/>
              </w:rPr>
            </w:pPr>
            <w:r>
              <w:rPr>
                <w:rFonts w:hint="eastAsia" w:ascii="仿宋" w:hAnsi="仿宋" w:eastAsia="仿宋"/>
                <w:color w:val="FF0000"/>
                <w:sz w:val="24"/>
              </w:rPr>
              <w:t xml:space="preserve">投标人资质等级： </w:t>
            </w:r>
          </w:p>
        </w:tc>
      </w:tr>
      <w:permEnd w:id="49"/>
      <w:permEnd w:id="5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jc w:val="center"/>
              <w:rPr>
                <w:rFonts w:ascii="仿宋_GB2312" w:hAnsi="Times New Roman" w:eastAsia="仿宋_GB2312"/>
              </w:rPr>
            </w:pPr>
            <w:r>
              <w:rPr>
                <w:rFonts w:hint="eastAsia" w:ascii="仿宋_GB2312" w:hAnsi="Times New Roman" w:eastAsia="仿宋_GB2312"/>
              </w:rPr>
              <w:t>18</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sz w:val="24"/>
              </w:rPr>
            </w:pPr>
            <w:r>
              <w:rPr>
                <w:rFonts w:hint="eastAsia" w:ascii="仿宋_GB2312" w:hAnsi="宋体" w:eastAsia="仿宋_GB2312"/>
                <w:sz w:val="24"/>
              </w:rPr>
              <w:t>投标人项目经理（注册建造师）、项目管理人员要求</w:t>
            </w:r>
          </w:p>
        </w:tc>
        <w:tc>
          <w:tcPr>
            <w:tcW w:w="747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投标人拟任项目经理资质要求为：</w:t>
            </w:r>
            <w:r>
              <w:rPr>
                <w:rFonts w:hint="eastAsia" w:ascii="宋体" w:hAnsi="宋体" w:eastAsia="宋体" w:cs="宋体"/>
                <w:sz w:val="24"/>
                <w:szCs w:val="24"/>
                <w:lang w:eastAsia="zh-CN"/>
              </w:rPr>
              <w:t>满足</w:t>
            </w:r>
            <w:r>
              <w:rPr>
                <w:rFonts w:hint="eastAsia" w:ascii="宋体" w:hAnsi="宋体" w:eastAsia="宋体" w:cs="宋体"/>
                <w:sz w:val="24"/>
                <w:szCs w:val="24"/>
              </w:rPr>
              <w:t>招标公告</w:t>
            </w:r>
            <w:r>
              <w:rPr>
                <w:rFonts w:hint="eastAsia" w:ascii="宋体" w:hAnsi="宋体" w:eastAsia="宋体" w:cs="宋体"/>
                <w:sz w:val="24"/>
                <w:szCs w:val="24"/>
                <w:lang w:eastAsia="zh-CN"/>
              </w:rPr>
              <w:t>条件；</w:t>
            </w:r>
            <w:r>
              <w:rPr>
                <w:rFonts w:hint="eastAsia" w:ascii="宋体" w:hAnsi="宋体" w:eastAsia="宋体" w:cs="宋体"/>
                <w:sz w:val="24"/>
                <w:szCs w:val="24"/>
              </w:rPr>
              <w:t>必须是本单位工作人员</w:t>
            </w:r>
            <w:r>
              <w:rPr>
                <w:rFonts w:hint="eastAsia" w:ascii="宋体" w:hAnsi="宋体" w:eastAsia="宋体" w:cs="宋体"/>
                <w:sz w:val="24"/>
                <w:szCs w:val="24"/>
                <w:lang w:eastAsia="zh-CN"/>
              </w:rPr>
              <w:t>；</w:t>
            </w:r>
            <w:r>
              <w:rPr>
                <w:rFonts w:hint="eastAsia" w:ascii="宋体" w:hAnsi="宋体" w:eastAsia="宋体" w:cs="宋体"/>
                <w:sz w:val="24"/>
                <w:szCs w:val="24"/>
              </w:rPr>
              <w:t>不得担任</w:t>
            </w:r>
            <w:r>
              <w:rPr>
                <w:rFonts w:hint="eastAsia" w:ascii="宋体" w:hAnsi="宋体" w:eastAsia="宋体" w:cs="宋体"/>
                <w:sz w:val="24"/>
                <w:szCs w:val="24"/>
                <w:lang w:eastAsia="zh-CN"/>
              </w:rPr>
              <w:t>其他</w:t>
            </w:r>
            <w:r>
              <w:rPr>
                <w:rFonts w:hint="eastAsia" w:ascii="宋体" w:hAnsi="宋体" w:eastAsia="宋体" w:cs="宋体"/>
                <w:sz w:val="24"/>
                <w:szCs w:val="24"/>
              </w:rPr>
              <w:t>建设工程施工项目负责人</w:t>
            </w:r>
            <w:r>
              <w:rPr>
                <w:rFonts w:hint="eastAsia" w:ascii="宋体" w:hAnsi="宋体" w:eastAsia="宋体" w:cs="宋体"/>
                <w:sz w:val="24"/>
                <w:szCs w:val="24"/>
                <w:lang w:eastAsia="zh-CN"/>
              </w:rPr>
              <w:t>（项目经理）</w:t>
            </w:r>
            <w:r>
              <w:rPr>
                <w:rFonts w:hint="eastAsia" w:ascii="宋体" w:hAnsi="宋体" w:eastAsia="宋体" w:cs="宋体"/>
                <w:sz w:val="24"/>
                <w:szCs w:val="24"/>
              </w:rPr>
              <w:t>，以下</w:t>
            </w:r>
            <w:r>
              <w:rPr>
                <w:rFonts w:hint="eastAsia" w:ascii="宋体" w:hAnsi="宋体" w:eastAsia="宋体" w:cs="宋体"/>
                <w:sz w:val="24"/>
                <w:szCs w:val="24"/>
                <w:lang w:eastAsia="zh-CN"/>
              </w:rPr>
              <w:t>特殊</w:t>
            </w:r>
            <w:r>
              <w:rPr>
                <w:rFonts w:hint="eastAsia" w:ascii="宋体" w:hAnsi="宋体" w:eastAsia="宋体" w:cs="宋体"/>
                <w:sz w:val="24"/>
                <w:szCs w:val="24"/>
              </w:rPr>
              <w:t>情形除外：(1)法定情形；(2)虽在其他项目上担任项目经理，但</w:t>
            </w:r>
            <w:r>
              <w:rPr>
                <w:rFonts w:hint="eastAsia" w:ascii="宋体" w:hAnsi="宋体" w:eastAsia="宋体" w:cs="宋体"/>
                <w:sz w:val="24"/>
                <w:szCs w:val="24"/>
                <w:lang w:eastAsia="zh-CN"/>
              </w:rPr>
              <w:t>所负责管理的工程项目主体已完工或已完成工程量超过</w:t>
            </w:r>
            <w:r>
              <w:rPr>
                <w:rFonts w:hint="eastAsia" w:ascii="宋体" w:hAnsi="宋体" w:eastAsia="宋体" w:cs="宋体"/>
                <w:sz w:val="24"/>
                <w:szCs w:val="24"/>
                <w:lang w:val="en-US" w:eastAsia="zh-CN"/>
              </w:rPr>
              <w:t>80%</w:t>
            </w:r>
            <w:r>
              <w:rPr>
                <w:rFonts w:hint="eastAsia" w:ascii="宋体" w:hAnsi="宋体" w:eastAsia="宋体" w:cs="宋体"/>
                <w:sz w:val="24"/>
                <w:szCs w:val="24"/>
                <w:lang w:eastAsia="zh-CN"/>
              </w:rPr>
              <w:t>，且</w:t>
            </w:r>
            <w:r>
              <w:rPr>
                <w:rFonts w:hint="eastAsia" w:ascii="宋体" w:hAnsi="宋体" w:eastAsia="宋体" w:cs="宋体"/>
                <w:sz w:val="24"/>
                <w:szCs w:val="24"/>
              </w:rPr>
              <w:t>在投标文件中承诺（格式</w:t>
            </w:r>
            <w:r>
              <w:rPr>
                <w:rFonts w:hint="eastAsia" w:ascii="宋体" w:hAnsi="宋体" w:eastAsia="宋体" w:cs="宋体"/>
                <w:sz w:val="24"/>
                <w:szCs w:val="24"/>
                <w:lang w:eastAsia="zh-CN"/>
              </w:rPr>
              <w:t>见投标文件</w:t>
            </w:r>
            <w:r>
              <w:rPr>
                <w:rFonts w:hint="eastAsia" w:ascii="宋体" w:hAnsi="宋体" w:eastAsia="宋体" w:cs="宋体"/>
                <w:sz w:val="24"/>
                <w:szCs w:val="24"/>
              </w:rPr>
              <w:t>）中标本项目后</w:t>
            </w:r>
            <w:r>
              <w:rPr>
                <w:rFonts w:hint="eastAsia" w:ascii="宋体" w:hAnsi="宋体" w:eastAsia="宋体" w:cs="宋体"/>
                <w:sz w:val="24"/>
                <w:szCs w:val="24"/>
                <w:lang w:val="en-US" w:eastAsia="zh-CN"/>
              </w:rPr>
              <w:t>10个工作日</w:t>
            </w:r>
            <w:r>
              <w:rPr>
                <w:rFonts w:hint="eastAsia" w:ascii="宋体" w:hAnsi="宋体" w:eastAsia="宋体" w:cs="宋体"/>
                <w:sz w:val="24"/>
                <w:szCs w:val="24"/>
                <w:lang w:eastAsia="zh-CN"/>
              </w:rPr>
              <w:t>（以中标通知书发出时间的次日计算）</w:t>
            </w:r>
            <w:r>
              <w:rPr>
                <w:rFonts w:hint="eastAsia" w:ascii="宋体" w:hAnsi="宋体" w:eastAsia="宋体" w:cs="宋体"/>
                <w:sz w:val="24"/>
                <w:szCs w:val="24"/>
                <w:lang w:val="en-US" w:eastAsia="zh-CN"/>
              </w:rPr>
              <w:t>内</w:t>
            </w:r>
            <w:r>
              <w:rPr>
                <w:rFonts w:hint="eastAsia" w:ascii="宋体" w:hAnsi="宋体" w:eastAsia="宋体" w:cs="宋体"/>
                <w:sz w:val="24"/>
                <w:szCs w:val="24"/>
              </w:rPr>
              <w:t>能够变更至本项目履约</w:t>
            </w:r>
            <w:r>
              <w:rPr>
                <w:rFonts w:hint="eastAsia" w:ascii="宋体" w:hAnsi="宋体" w:eastAsia="宋体" w:cs="宋体"/>
                <w:sz w:val="24"/>
                <w:szCs w:val="24"/>
                <w:lang w:eastAsia="zh-CN"/>
              </w:rPr>
              <w:t>，须同时提供在建项目发包方出具的同意项目经理变更的证明（</w:t>
            </w:r>
            <w:r>
              <w:rPr>
                <w:rFonts w:hint="eastAsia" w:ascii="宋体" w:hAnsi="宋体" w:eastAsia="宋体" w:cs="宋体"/>
                <w:sz w:val="24"/>
                <w:szCs w:val="24"/>
              </w:rPr>
              <w:t>格式</w:t>
            </w:r>
            <w:r>
              <w:rPr>
                <w:rFonts w:hint="eastAsia" w:ascii="宋体" w:hAnsi="宋体" w:eastAsia="宋体" w:cs="宋体"/>
                <w:sz w:val="24"/>
                <w:szCs w:val="24"/>
                <w:lang w:eastAsia="zh-CN"/>
              </w:rPr>
              <w:t>见投标文件）</w:t>
            </w:r>
            <w:r>
              <w:rPr>
                <w:rFonts w:hint="eastAsia" w:ascii="宋体" w:hAnsi="宋体" w:eastAsia="宋体" w:cs="宋体"/>
                <w:sz w:val="24"/>
                <w:szCs w:val="24"/>
              </w:rPr>
              <w:t>。</w:t>
            </w:r>
          </w:p>
          <w:p>
            <w:pPr>
              <w:adjustRightInd w:val="0"/>
              <w:snapToGrid w:val="0"/>
              <w:spacing w:line="260" w:lineRule="exact"/>
              <w:rPr>
                <w:rFonts w:hint="eastAsia" w:ascii="宋体" w:hAnsi="宋体" w:eastAsia="宋体" w:cs="宋体"/>
                <w:color w:val="FF0000"/>
                <w:sz w:val="24"/>
                <w:lang w:val="en-US" w:eastAsia="zh-CN"/>
              </w:rPr>
            </w:pPr>
            <w:r>
              <w:rPr>
                <w:rFonts w:hint="eastAsia" w:ascii="宋体" w:hAnsi="宋体" w:eastAsia="宋体" w:cs="宋体"/>
                <w:sz w:val="24"/>
                <w:szCs w:val="24"/>
              </w:rPr>
              <w:t>中标后，若项目经理在其他项目上担任施工项目负责人</w:t>
            </w:r>
            <w:r>
              <w:rPr>
                <w:rFonts w:hint="eastAsia" w:ascii="宋体" w:hAnsi="宋体" w:eastAsia="宋体" w:cs="宋体"/>
                <w:sz w:val="24"/>
                <w:szCs w:val="24"/>
                <w:lang w:eastAsia="zh-CN"/>
              </w:rPr>
              <w:t>（</w:t>
            </w:r>
            <w:r>
              <w:rPr>
                <w:rFonts w:hint="eastAsia" w:ascii="宋体" w:hAnsi="宋体" w:eastAsia="宋体" w:cs="宋体"/>
                <w:sz w:val="24"/>
                <w:szCs w:val="24"/>
              </w:rPr>
              <w:t>项目经理</w:t>
            </w:r>
            <w:r>
              <w:rPr>
                <w:rFonts w:hint="eastAsia" w:ascii="宋体" w:hAnsi="宋体" w:eastAsia="宋体" w:cs="宋体"/>
                <w:sz w:val="24"/>
                <w:szCs w:val="24"/>
                <w:lang w:eastAsia="zh-CN"/>
              </w:rPr>
              <w:t>），不能按期变更的</w:t>
            </w:r>
            <w:r>
              <w:rPr>
                <w:rFonts w:hint="eastAsia" w:ascii="宋体" w:hAnsi="宋体" w:eastAsia="宋体" w:cs="宋体"/>
                <w:sz w:val="24"/>
                <w:szCs w:val="24"/>
              </w:rPr>
              <w:t>，取消中标资格。投标人因此原因被取消中标资格的，视为无正当理由放弃中标项目资格。</w:t>
            </w:r>
          </w:p>
          <w:p>
            <w:pPr>
              <w:adjustRightInd w:val="0"/>
              <w:snapToGrid w:val="0"/>
              <w:spacing w:line="260" w:lineRule="exact"/>
              <w:rPr>
                <w:rFonts w:ascii="黑体" w:hAnsi="宋体" w:eastAsia="黑体"/>
                <w:kern w:val="0"/>
                <w:sz w:val="24"/>
              </w:rPr>
            </w:pPr>
            <w:r>
              <w:rPr>
                <w:rFonts w:hint="eastAsia" w:ascii="黑体" w:hAnsi="宋体" w:eastAsia="黑体"/>
                <w:kern w:val="0"/>
                <w:sz w:val="24"/>
              </w:rPr>
              <w:t>2、项目机构主要管理人员（包括项目经理、项目总工、</w:t>
            </w:r>
            <w:permStart w:id="51" w:edGrp="everyone"/>
            <w:r>
              <w:rPr>
                <w:rFonts w:hint="eastAsia" w:ascii="黑体" w:hAnsi="宋体" w:eastAsia="黑体"/>
                <w:kern w:val="0"/>
                <w:sz w:val="24"/>
                <w:u w:val="single"/>
              </w:rPr>
              <w:t xml:space="preserve"> </w:t>
            </w:r>
            <w:r>
              <w:rPr>
                <w:rFonts w:asciiTheme="minorEastAsia" w:hAnsiTheme="minorEastAsia" w:eastAsiaTheme="minorEastAsia"/>
                <w:sz w:val="24"/>
                <w:u w:val="single"/>
              </w:rPr>
              <w:t>施工员、</w:t>
            </w:r>
            <w:r>
              <w:rPr>
                <w:rFonts w:hint="eastAsia" w:asciiTheme="minorEastAsia" w:hAnsiTheme="minorEastAsia" w:eastAsiaTheme="minorEastAsia"/>
                <w:sz w:val="24"/>
                <w:u w:val="single"/>
                <w:lang w:eastAsia="zh-CN"/>
              </w:rPr>
              <w:t>质量</w:t>
            </w:r>
            <w:r>
              <w:rPr>
                <w:rFonts w:asciiTheme="minorEastAsia" w:hAnsiTheme="minorEastAsia" w:eastAsiaTheme="minorEastAsia"/>
                <w:sz w:val="24"/>
                <w:u w:val="single"/>
              </w:rPr>
              <w:t>员、安全员</w:t>
            </w:r>
            <w:r>
              <w:rPr>
                <w:rFonts w:hint="eastAsia" w:ascii="黑体" w:hAnsi="宋体" w:eastAsia="黑体"/>
                <w:kern w:val="0"/>
                <w:sz w:val="24"/>
                <w:u w:val="single"/>
              </w:rPr>
              <w:t xml:space="preserve"> </w:t>
            </w:r>
            <w:permEnd w:id="51"/>
            <w:r>
              <w:rPr>
                <w:rFonts w:hint="eastAsia" w:ascii="黑体" w:hAnsi="宋体" w:eastAsia="黑体"/>
                <w:kern w:val="0"/>
                <w:sz w:val="24"/>
              </w:rPr>
              <w:t>）必须是本单位工作人员，</w:t>
            </w:r>
            <w:r>
              <w:rPr>
                <w:rFonts w:hint="eastAsia" w:ascii="宋体" w:hAnsi="宋体" w:cs="仿宋"/>
                <w:kern w:val="0"/>
                <w:sz w:val="24"/>
              </w:rPr>
              <w:t>项目经理投标截止前在投标单位任职及缴纳社保时间不少于6个月，其他项目管理人员在投标单位任职及缴纳社保时间不少于3个月</w:t>
            </w:r>
            <w:r>
              <w:rPr>
                <w:rFonts w:hint="eastAsia" w:ascii="宋体" w:hAnsi="宋体" w:cs="仿宋"/>
                <w:color w:val="FF0000"/>
                <w:kern w:val="0"/>
                <w:sz w:val="24"/>
              </w:rPr>
              <w:t>，并在投标文件中作出承诺</w:t>
            </w:r>
            <w:r>
              <w:rPr>
                <w:rFonts w:hint="eastAsia" w:ascii="宋体" w:hAnsi="宋体" w:cs="仿宋"/>
                <w:kern w:val="0"/>
                <w:sz w:val="24"/>
              </w:rPr>
              <w:t>。</w:t>
            </w:r>
          </w:p>
          <w:p>
            <w:pPr>
              <w:adjustRightInd w:val="0"/>
              <w:snapToGrid w:val="0"/>
              <w:spacing w:line="260" w:lineRule="exact"/>
              <w:rPr>
                <w:rFonts w:ascii="黑体" w:hAnsi="黑体" w:eastAsia="黑体" w:cs="黑体"/>
                <w:kern w:val="0"/>
                <w:sz w:val="24"/>
              </w:rPr>
            </w:pPr>
            <w:r>
              <w:rPr>
                <w:rFonts w:hint="eastAsia" w:ascii="黑体" w:hAnsi="宋体" w:eastAsia="黑体"/>
                <w:kern w:val="0"/>
                <w:sz w:val="24"/>
              </w:rPr>
              <w:t>中标后因中标人的原因，变更项目经理，中标人须向招标人交纳</w:t>
            </w:r>
            <w:permStart w:id="52" w:edGrp="everyone"/>
            <w:r>
              <w:rPr>
                <w:rFonts w:hint="eastAsia" w:ascii="黑体" w:hAnsi="宋体" w:eastAsia="黑体"/>
                <w:kern w:val="0"/>
                <w:sz w:val="24"/>
                <w:u w:val="single"/>
              </w:rPr>
              <w:t>10</w:t>
            </w:r>
            <w:permEnd w:id="52"/>
            <w:r>
              <w:rPr>
                <w:rFonts w:hint="eastAsia" w:ascii="黑体" w:hAnsi="宋体" w:eastAsia="黑体"/>
                <w:kern w:val="0"/>
                <w:sz w:val="24"/>
              </w:rPr>
              <w:t>万元/次违约金，变更其他人员交纳</w:t>
            </w:r>
            <w:permStart w:id="53" w:edGrp="everyone"/>
            <w:r>
              <w:rPr>
                <w:rFonts w:hint="eastAsia" w:ascii="黑体" w:hAnsi="宋体" w:eastAsia="黑体"/>
                <w:kern w:val="0"/>
                <w:sz w:val="24"/>
                <w:u w:val="single"/>
              </w:rPr>
              <w:t>2</w:t>
            </w:r>
            <w:permEnd w:id="53"/>
            <w:r>
              <w:rPr>
                <w:rFonts w:hint="eastAsia" w:ascii="黑体" w:hAnsi="宋体" w:eastAsia="黑体"/>
                <w:kern w:val="0"/>
                <w:sz w:val="24"/>
              </w:rPr>
              <w:t>万元/人</w:t>
            </w:r>
            <w:r>
              <w:rPr>
                <w:rFonts w:hint="eastAsia" w:ascii="宋体" w:hAnsi="宋体" w:cs="宋体"/>
                <w:kern w:val="0"/>
                <w:sz w:val="24"/>
              </w:rPr>
              <w:t>•</w:t>
            </w:r>
            <w:r>
              <w:rPr>
                <w:rFonts w:hint="eastAsia" w:ascii="黑体" w:hAnsi="黑体" w:eastAsia="黑体" w:cs="黑体"/>
                <w:kern w:val="0"/>
                <w:sz w:val="24"/>
              </w:rPr>
              <w:t>次违约金。</w:t>
            </w:r>
          </w:p>
          <w:p>
            <w:pPr>
              <w:rPr>
                <w:rFonts w:asciiTheme="minorEastAsia" w:hAnsiTheme="minorEastAsia" w:eastAsiaTheme="minorEastAsia"/>
                <w:sz w:val="24"/>
              </w:rPr>
            </w:pPr>
            <w:r>
              <w:rPr>
                <w:rFonts w:asciiTheme="minorEastAsia" w:hAnsiTheme="minorEastAsia" w:eastAsiaTheme="minorEastAsia"/>
                <w:sz w:val="24"/>
              </w:rPr>
              <w:t>项目经理除被限制人身自由、重大疾病、退休、死亡等不能正常履职外，主体工程完成前原则上不得变更。投标文件中提供的核心技术管理人员（包括</w:t>
            </w:r>
            <w:r>
              <w:rPr>
                <w:rFonts w:hint="eastAsia" w:asciiTheme="minorEastAsia" w:hAnsiTheme="minorEastAsia" w:eastAsiaTheme="minorEastAsia"/>
                <w:sz w:val="24"/>
              </w:rPr>
              <w:t>项目总工</w:t>
            </w:r>
            <w:r>
              <w:rPr>
                <w:rFonts w:asciiTheme="minorEastAsia" w:hAnsiTheme="minorEastAsia" w:eastAsiaTheme="minorEastAsia"/>
                <w:sz w:val="24"/>
              </w:rPr>
              <w:t>、施工员、</w:t>
            </w:r>
            <w:r>
              <w:rPr>
                <w:rFonts w:hint="eastAsia" w:asciiTheme="minorEastAsia" w:hAnsiTheme="minorEastAsia" w:eastAsiaTheme="minorEastAsia"/>
                <w:sz w:val="24"/>
                <w:lang w:eastAsia="zh-CN"/>
              </w:rPr>
              <w:t>质量</w:t>
            </w:r>
            <w:r>
              <w:rPr>
                <w:rFonts w:asciiTheme="minorEastAsia" w:hAnsiTheme="minorEastAsia" w:eastAsiaTheme="minorEastAsia"/>
                <w:sz w:val="24"/>
              </w:rPr>
              <w:t>员、安全员）在主体工程完成前，变更人数总量不得超过20%。</w:t>
            </w:r>
          </w:p>
          <w:p>
            <w:pPr>
              <w:rPr>
                <w:rFonts w:asciiTheme="minorEastAsia" w:hAnsiTheme="minorEastAsia"/>
                <w:sz w:val="24"/>
              </w:rPr>
            </w:pPr>
            <w:r>
              <w:rPr>
                <w:rFonts w:hint="eastAsia" w:asciiTheme="minorEastAsia" w:hAnsiTheme="minorEastAsia" w:eastAsiaTheme="minorEastAsia"/>
                <w:sz w:val="24"/>
              </w:rPr>
              <w:t>3、本项目委托代理人（投标被授权人）必须为拟任项目经理，否则投标无效。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jc w:val="center"/>
              <w:rPr>
                <w:rFonts w:ascii="仿宋_GB2312" w:hAnsi="Times New Roman" w:eastAsia="仿宋_GB2312"/>
              </w:rPr>
            </w:pPr>
            <w:r>
              <w:rPr>
                <w:rFonts w:hint="eastAsia" w:ascii="仿宋_GB2312" w:hAnsi="Times New Roman" w:eastAsia="仿宋_GB2312"/>
              </w:rPr>
              <w:t>1</w:t>
            </w:r>
            <w:r>
              <w:rPr>
                <w:rFonts w:ascii="仿宋_GB2312" w:hAnsi="Times New Roman" w:eastAsia="仿宋_GB2312"/>
              </w:rPr>
              <w:t>9</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sz w:val="24"/>
              </w:rPr>
            </w:pPr>
            <w:r>
              <w:rPr>
                <w:rFonts w:hint="eastAsia" w:ascii="仿宋_GB2312" w:hAnsi="宋体" w:eastAsia="仿宋_GB2312"/>
                <w:sz w:val="24"/>
              </w:rPr>
              <w:t>投标人信用</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FF0000"/>
                <w:sz w:val="24"/>
                <w:highlight w:val="yellow"/>
              </w:rPr>
            </w:pPr>
            <w:permStart w:id="54" w:edGrp="everyone"/>
            <w:r>
              <w:rPr>
                <w:rFonts w:hint="eastAsia" w:ascii="仿宋" w:hAnsi="仿宋" w:eastAsia="仿宋"/>
                <w:color w:val="FF0000"/>
                <w:sz w:val="24"/>
                <w:highlight w:val="yellow"/>
              </w:rPr>
              <w:t>1、投标人提交投标文件前不得存在以下情形：</w:t>
            </w:r>
          </w:p>
          <w:p>
            <w:pPr>
              <w:adjustRightInd w:val="0"/>
              <w:snapToGrid w:val="0"/>
              <w:rPr>
                <w:rFonts w:ascii="仿宋" w:hAnsi="仿宋" w:eastAsia="仿宋"/>
                <w:color w:val="FF0000"/>
                <w:sz w:val="24"/>
                <w:highlight w:val="yellow"/>
              </w:rPr>
            </w:pPr>
            <w:r>
              <w:rPr>
                <w:rFonts w:hint="eastAsia" w:ascii="仿宋" w:hAnsi="仿宋" w:eastAsia="仿宋"/>
                <w:color w:val="FF0000"/>
                <w:sz w:val="24"/>
                <w:highlight w:val="yellow"/>
              </w:rPr>
              <w:t>①被列入法院失信被执行人名单</w:t>
            </w:r>
          </w:p>
          <w:p>
            <w:pPr>
              <w:adjustRightInd w:val="0"/>
              <w:snapToGrid w:val="0"/>
              <w:rPr>
                <w:rFonts w:ascii="仿宋" w:hAnsi="仿宋" w:eastAsia="仿宋"/>
                <w:color w:val="FF0000"/>
                <w:sz w:val="24"/>
                <w:highlight w:val="yellow"/>
              </w:rPr>
            </w:pPr>
            <w:r>
              <w:rPr>
                <w:rFonts w:hint="eastAsia" w:ascii="仿宋" w:hAnsi="仿宋" w:eastAsia="仿宋"/>
                <w:color w:val="FF0000"/>
                <w:sz w:val="24"/>
                <w:highlight w:val="yellow"/>
              </w:rPr>
              <w:t>②因拖欠农民工工资被列入“黑名单”</w:t>
            </w:r>
          </w:p>
          <w:p>
            <w:pPr>
              <w:adjustRightInd w:val="0"/>
              <w:snapToGrid w:val="0"/>
              <w:rPr>
                <w:rFonts w:ascii="仿宋" w:hAnsi="仿宋" w:eastAsia="仿宋"/>
                <w:color w:val="FF0000"/>
                <w:sz w:val="24"/>
                <w:highlight w:val="yellow"/>
              </w:rPr>
            </w:pPr>
            <w:r>
              <w:rPr>
                <w:rFonts w:hint="eastAsia" w:ascii="仿宋" w:hAnsi="仿宋" w:eastAsia="仿宋"/>
                <w:color w:val="FF0000"/>
                <w:sz w:val="24"/>
                <w:highlight w:val="yellow"/>
              </w:rPr>
              <w:t>③存在重大税收违法行为</w:t>
            </w:r>
          </w:p>
          <w:p>
            <w:pPr>
              <w:adjustRightInd w:val="0"/>
              <w:snapToGrid w:val="0"/>
              <w:rPr>
                <w:rFonts w:ascii="仿宋" w:hAnsi="仿宋" w:eastAsia="仿宋"/>
                <w:color w:val="FF0000"/>
                <w:sz w:val="24"/>
                <w:highlight w:val="yellow"/>
              </w:rPr>
            </w:pPr>
            <w:r>
              <w:rPr>
                <w:rFonts w:hint="eastAsia" w:ascii="仿宋" w:hAnsi="仿宋" w:eastAsia="仿宋"/>
                <w:color w:val="FF0000"/>
                <w:sz w:val="24"/>
                <w:highlight w:val="yellow"/>
              </w:rPr>
              <w:t>上述情形，以“信用中国”网站查询为准。</w:t>
            </w:r>
          </w:p>
          <w:p>
            <w:pPr>
              <w:adjustRightInd w:val="0"/>
              <w:snapToGrid w:val="0"/>
              <w:rPr>
                <w:rFonts w:ascii="仿宋" w:hAnsi="仿宋" w:eastAsia="仿宋"/>
                <w:color w:val="FF0000"/>
                <w:sz w:val="24"/>
                <w:highlight w:val="yellow"/>
              </w:rPr>
            </w:pPr>
            <w:r>
              <w:rPr>
                <w:rFonts w:hint="eastAsia" w:ascii="仿宋" w:hAnsi="仿宋" w:eastAsia="仿宋"/>
                <w:color w:val="FF0000"/>
                <w:sz w:val="24"/>
                <w:highlight w:val="yellow"/>
              </w:rPr>
              <w:t>④被列入严重违法失信企业名单，以国家企业信用信息公示系统网站查询为准。</w:t>
            </w:r>
          </w:p>
          <w:p>
            <w:pPr>
              <w:adjustRightInd w:val="0"/>
              <w:snapToGrid w:val="0"/>
              <w:rPr>
                <w:rFonts w:ascii="仿宋" w:hAnsi="仿宋" w:eastAsia="仿宋"/>
                <w:color w:val="FF0000"/>
                <w:sz w:val="24"/>
                <w:highlight w:val="yellow"/>
              </w:rPr>
            </w:pPr>
            <w:r>
              <w:rPr>
                <w:rFonts w:hint="eastAsia" w:ascii="仿宋" w:hAnsi="仿宋" w:eastAsia="仿宋"/>
                <w:color w:val="FF0000"/>
                <w:sz w:val="24"/>
                <w:highlight w:val="yellow"/>
              </w:rPr>
              <w:t>⑤被列入政府采购严重违法失信行为名单且被限制投标的，以中国政府采购网站查询为准。</w:t>
            </w:r>
          </w:p>
          <w:p>
            <w:pPr>
              <w:adjustRightInd w:val="0"/>
              <w:snapToGrid w:val="0"/>
              <w:rPr>
                <w:rFonts w:ascii="仿宋" w:hAnsi="仿宋" w:eastAsia="仿宋"/>
                <w:color w:val="FF0000"/>
                <w:sz w:val="24"/>
                <w:highlight w:val="yellow"/>
              </w:rPr>
            </w:pPr>
            <w:r>
              <w:rPr>
                <w:rFonts w:hint="eastAsia" w:ascii="仿宋" w:hAnsi="仿宋" w:eastAsia="仿宋"/>
                <w:color w:val="FF0000"/>
                <w:sz w:val="24"/>
                <w:highlight w:val="yellow"/>
                <w:shd w:val="pct10" w:color="auto" w:fill="FFFFFF"/>
              </w:rPr>
              <w:t>2、被省级及以上行业监督部门给予行政处理限制投标，被行业监督部门给予行政处罚限制投标（以行政处罚决定书为准），</w:t>
            </w:r>
            <w:r>
              <w:rPr>
                <w:rFonts w:hint="eastAsia" w:ascii="仿宋" w:hAnsi="仿宋" w:eastAsia="仿宋"/>
                <w:color w:val="FF0000"/>
                <w:sz w:val="24"/>
                <w:highlight w:val="yellow"/>
              </w:rPr>
              <w:t>在限制期内不得参与该行业项目的投标。被依法设立的各级公共资源交易综合管理部门在任何区域限制投标的，在限制期内都不得参与本项目投标。</w:t>
            </w:r>
          </w:p>
          <w:p>
            <w:pPr>
              <w:adjustRightInd w:val="0"/>
              <w:snapToGrid w:val="0"/>
              <w:rPr>
                <w:rFonts w:ascii="仿宋" w:hAnsi="仿宋" w:eastAsia="仿宋"/>
                <w:color w:val="FF0000"/>
                <w:sz w:val="24"/>
                <w:highlight w:val="yellow"/>
              </w:rPr>
            </w:pPr>
            <w:r>
              <w:rPr>
                <w:rFonts w:hint="eastAsia" w:ascii="仿宋" w:hAnsi="仿宋" w:eastAsia="仿宋"/>
                <w:color w:val="FF0000"/>
                <w:sz w:val="24"/>
                <w:highlight w:val="yellow"/>
              </w:rPr>
              <w:t>3、投标人不存在《蚌埠市推进严重欠薪失信行为联合惩戒工作的实施意见》（蚌人社发〔2017〕24号）规定的被限制投标的情形。</w:t>
            </w:r>
          </w:p>
          <w:p>
            <w:pPr>
              <w:adjustRightInd w:val="0"/>
              <w:snapToGrid w:val="0"/>
              <w:rPr>
                <w:rFonts w:ascii="仿宋" w:hAnsi="仿宋" w:eastAsia="仿宋"/>
                <w:color w:val="FF0000"/>
                <w:sz w:val="24"/>
                <w:highlight w:val="yellow"/>
              </w:rPr>
            </w:pPr>
            <w:r>
              <w:rPr>
                <w:rFonts w:hint="eastAsia" w:ascii="仿宋" w:hAnsi="仿宋" w:eastAsia="仿宋"/>
                <w:color w:val="FF0000"/>
                <w:sz w:val="24"/>
                <w:highlight w:val="yellow"/>
                <w:lang w:val="en-US" w:eastAsia="zh-CN"/>
              </w:rPr>
              <w:t>4</w:t>
            </w:r>
            <w:r>
              <w:rPr>
                <w:rFonts w:hint="eastAsia" w:ascii="仿宋" w:hAnsi="仿宋" w:eastAsia="仿宋"/>
                <w:color w:val="FF0000"/>
                <w:sz w:val="24"/>
                <w:highlight w:val="yellow"/>
              </w:rPr>
              <w:t>、投标人所属分公司、子公司的不良行为，不影响投标人的投标资格。</w:t>
            </w:r>
            <w:permEnd w:id="54"/>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jc w:val="center"/>
              <w:rPr>
                <w:rFonts w:ascii="仿宋_GB2312" w:hAnsi="Times New Roman" w:eastAsia="仿宋_GB2312"/>
              </w:rPr>
            </w:pPr>
            <w:r>
              <w:rPr>
                <w:rFonts w:hint="eastAsia" w:ascii="仿宋_GB2312" w:hAnsi="Times New Roman" w:eastAsia="仿宋_GB2312"/>
              </w:rPr>
              <w:t>2</w:t>
            </w:r>
            <w:r>
              <w:rPr>
                <w:rFonts w:ascii="仿宋_GB2312" w:hAnsi="Times New Roman" w:eastAsia="仿宋_GB2312"/>
              </w:rPr>
              <w:t>0</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color w:val="FF0000"/>
                <w:sz w:val="24"/>
                <w:highlight w:val="yellow"/>
              </w:rPr>
            </w:pPr>
            <w:r>
              <w:rPr>
                <w:rFonts w:hint="eastAsia" w:ascii="仿宋" w:hAnsi="仿宋" w:eastAsia="仿宋"/>
                <w:color w:val="FF0000"/>
                <w:sz w:val="24"/>
              </w:rPr>
              <w:t>现场勘察</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FF0000"/>
                <w:sz w:val="24"/>
                <w:highlight w:val="yellow"/>
              </w:rPr>
            </w:pPr>
            <w:permStart w:id="55" w:edGrp="everyone"/>
            <w:r>
              <w:rPr>
                <w:rFonts w:hint="eastAsia" w:ascii="仿宋" w:hAnsi="仿宋" w:eastAsia="仿宋"/>
                <w:color w:val="FF0000"/>
                <w:sz w:val="24"/>
              </w:rPr>
              <w:t>招标人不组织勘察</w:t>
            </w:r>
            <w:permEnd w:id="55"/>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jc w:val="center"/>
              <w:rPr>
                <w:rFonts w:ascii="仿宋_GB2312" w:hAnsi="Times New Roman" w:eastAsia="仿宋_GB2312"/>
              </w:rPr>
            </w:pPr>
            <w:r>
              <w:rPr>
                <w:rFonts w:hint="eastAsia" w:ascii="仿宋_GB2312" w:hAnsi="Times New Roman" w:eastAsia="仿宋_GB2312"/>
              </w:rPr>
              <w:t>2</w:t>
            </w:r>
            <w:r>
              <w:rPr>
                <w:rFonts w:ascii="仿宋_GB2312" w:hAnsi="Times New Roman" w:eastAsia="仿宋_GB2312"/>
              </w:rPr>
              <w:t>1</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color w:val="FF0000"/>
                <w:sz w:val="24"/>
                <w:highlight w:val="yellow"/>
              </w:rPr>
            </w:pPr>
            <w:r>
              <w:rPr>
                <w:rFonts w:hint="eastAsia" w:ascii="仿宋" w:hAnsi="仿宋" w:eastAsia="仿宋"/>
                <w:color w:val="FF0000"/>
                <w:kern w:val="0"/>
                <w:sz w:val="24"/>
              </w:rPr>
              <w:t>发布招标公告</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FF0000"/>
                <w:sz w:val="24"/>
                <w:highlight w:val="yellow"/>
              </w:rPr>
            </w:pPr>
            <w:permStart w:id="56" w:edGrp="everyone"/>
            <w:r>
              <w:rPr>
                <w:rFonts w:hint="eastAsia" w:ascii="仿宋" w:hAnsi="仿宋" w:eastAsia="仿宋"/>
                <w:color w:val="FF0000"/>
                <w:sz w:val="24"/>
              </w:rPr>
              <w:t>发布时间：年月日</w:t>
            </w:r>
            <w:r>
              <w:rPr>
                <w:rFonts w:hint="eastAsia" w:ascii="仿宋" w:hAnsi="仿宋" w:eastAsia="仿宋"/>
                <w:color w:val="FF0000"/>
                <w:kern w:val="0"/>
                <w:sz w:val="24"/>
              </w:rPr>
              <w:t>。</w:t>
            </w:r>
            <w:permEnd w:id="56"/>
            <w:r>
              <w:rPr>
                <w:rFonts w:hint="eastAsia" w:ascii="仿宋" w:hAnsi="仿宋" w:eastAsia="仿宋"/>
                <w:color w:val="FF0000"/>
                <w:kern w:val="0"/>
                <w:sz w:val="24"/>
              </w:rPr>
              <w:t>详见蚌埠市公共资源交易中心网站：</w:t>
            </w:r>
            <w:r>
              <w:rPr>
                <w:rFonts w:ascii="仿宋" w:hAnsi="仿宋" w:eastAsia="仿宋"/>
                <w:color w:val="FF0000"/>
                <w:kern w:val="0"/>
                <w:sz w:val="24"/>
              </w:rPr>
              <w:t>http://ggzy.bengbu.gov.cn</w:t>
            </w:r>
            <w:r>
              <w:rPr>
                <w:rFonts w:hint="eastAsia" w:ascii="仿宋" w:hAnsi="仿宋" w:eastAsia="仿宋"/>
                <w:color w:val="FF0000"/>
                <w:kern w:val="0"/>
                <w:sz w:val="24"/>
              </w:rPr>
              <w:t>交易信息栏目下的“交易信息”栏目。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jc w:val="center"/>
              <w:rPr>
                <w:rFonts w:ascii="仿宋_GB2312" w:hAnsi="Times New Roman" w:eastAsia="仿宋_GB2312"/>
              </w:rPr>
            </w:pPr>
            <w:r>
              <w:rPr>
                <w:rFonts w:hint="eastAsia" w:ascii="仿宋_GB2312" w:hAnsi="Times New Roman" w:eastAsia="仿宋_GB2312"/>
              </w:rPr>
              <w:t>2</w:t>
            </w:r>
            <w:r>
              <w:rPr>
                <w:rFonts w:ascii="仿宋_GB2312" w:hAnsi="Times New Roman" w:eastAsia="仿宋_GB2312"/>
              </w:rPr>
              <w:t>2</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color w:val="FF0000"/>
                <w:sz w:val="24"/>
                <w:highlight w:val="yellow"/>
              </w:rPr>
            </w:pPr>
            <w:r>
              <w:rPr>
                <w:rFonts w:hint="eastAsia" w:ascii="仿宋" w:hAnsi="仿宋" w:eastAsia="仿宋"/>
                <w:color w:val="FF0000"/>
                <w:kern w:val="0"/>
                <w:sz w:val="24"/>
              </w:rPr>
              <w:t>招标文件、施工图纸、清单发布时间</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FF0000"/>
                <w:sz w:val="24"/>
                <w:highlight w:val="yellow"/>
              </w:rPr>
            </w:pPr>
            <w:permStart w:id="57" w:edGrp="everyone"/>
            <w:r>
              <w:rPr>
                <w:rFonts w:hint="eastAsia" w:ascii="仿宋" w:hAnsi="仿宋" w:eastAsia="仿宋"/>
                <w:color w:val="FF0000"/>
                <w:sz w:val="24"/>
              </w:rPr>
              <w:t>发布时间：</w:t>
            </w:r>
            <w:r>
              <w:rPr>
                <w:rFonts w:hint="eastAsia" w:ascii="仿宋" w:hAnsi="仿宋" w:eastAsia="仿宋"/>
                <w:color w:val="FF0000"/>
                <w:sz w:val="24"/>
                <w:u w:val="single"/>
              </w:rPr>
              <w:t xml:space="preserve"> </w:t>
            </w:r>
            <w:r>
              <w:rPr>
                <w:rFonts w:ascii="仿宋" w:hAnsi="仿宋" w:eastAsia="仿宋"/>
                <w:color w:val="FF0000"/>
                <w:sz w:val="24"/>
                <w:u w:val="single"/>
              </w:rPr>
              <w:t xml:space="preserve"> </w:t>
            </w:r>
            <w:r>
              <w:rPr>
                <w:rFonts w:hint="eastAsia" w:ascii="仿宋" w:hAnsi="仿宋" w:eastAsia="仿宋"/>
                <w:color w:val="FF0000"/>
                <w:sz w:val="24"/>
                <w:u w:val="single"/>
              </w:rPr>
              <w:t>年 月 日</w:t>
            </w:r>
            <w:r>
              <w:rPr>
                <w:rFonts w:hint="eastAsia" w:ascii="仿宋" w:hAnsi="仿宋" w:eastAsia="仿宋"/>
                <w:color w:val="FF0000"/>
                <w:kern w:val="0"/>
                <w:sz w:val="24"/>
              </w:rPr>
              <w:t>。</w:t>
            </w:r>
            <w:permEnd w:id="57"/>
            <w:r>
              <w:rPr>
                <w:rFonts w:hint="eastAsia" w:ascii="仿宋" w:hAnsi="仿宋" w:eastAsia="仿宋"/>
                <w:color w:val="FF0000"/>
                <w:kern w:val="0"/>
                <w:sz w:val="24"/>
              </w:rPr>
              <w:t>投标人投标前在“蚌埠市公共资源交易中心网站”注册登记，并通过验证后；登录“</w:t>
            </w:r>
            <w:r>
              <w:fldChar w:fldCharType="begin"/>
            </w:r>
            <w:r>
              <w:instrText xml:space="preserve"> HYPERLINK "http://www.bbztb.cn" </w:instrText>
            </w:r>
            <w:r>
              <w:fldChar w:fldCharType="separate"/>
            </w:r>
            <w:r>
              <w:rPr>
                <w:rFonts w:ascii="仿宋" w:hAnsi="仿宋" w:eastAsia="仿宋"/>
                <w:color w:val="FF0000"/>
                <w:kern w:val="0"/>
                <w:sz w:val="24"/>
              </w:rPr>
              <w:t>http://ggzy.bengbu.gov.cn</w:t>
            </w:r>
            <w:r>
              <w:rPr>
                <w:rFonts w:ascii="仿宋" w:hAnsi="仿宋" w:eastAsia="仿宋"/>
                <w:color w:val="FF0000"/>
                <w:kern w:val="0"/>
                <w:sz w:val="24"/>
              </w:rPr>
              <w:fldChar w:fldCharType="end"/>
            </w:r>
            <w:r>
              <w:rPr>
                <w:rFonts w:hint="eastAsia" w:ascii="仿宋" w:hAnsi="仿宋" w:eastAsia="仿宋"/>
                <w:color w:val="FF0000"/>
                <w:kern w:val="0"/>
                <w:sz w:val="24"/>
              </w:rPr>
              <w:t>”，点击</w:t>
            </w:r>
            <w:r>
              <w:rPr>
                <w:rFonts w:ascii="仿宋" w:hAnsi="仿宋" w:eastAsia="仿宋"/>
                <w:color w:val="FF0000"/>
                <w:kern w:val="0"/>
                <w:sz w:val="24"/>
              </w:rPr>
              <w:t xml:space="preserve"> </w:t>
            </w:r>
            <w:r>
              <w:rPr>
                <w:rFonts w:hint="eastAsia" w:ascii="仿宋" w:hAnsi="仿宋" w:eastAsia="仿宋"/>
                <w:color w:val="FF0000"/>
                <w:kern w:val="0"/>
                <w:sz w:val="24"/>
              </w:rPr>
              <w:t>“投标人登录”，进入蚌埠公共资源交易系统，查阅下载相关文件。投标人如不及时下载，后果自负。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jc w:val="center"/>
              <w:rPr>
                <w:rFonts w:ascii="仿宋_GB2312" w:hAnsi="Times New Roman" w:eastAsia="仿宋_GB2312"/>
              </w:rPr>
            </w:pPr>
            <w:permStart w:id="58" w:edGrp="everyone" w:colFirst="2" w:colLast="2"/>
            <w:r>
              <w:rPr>
                <w:rFonts w:hint="eastAsia" w:ascii="仿宋_GB2312" w:hAnsi="Times New Roman" w:eastAsia="仿宋_GB2312"/>
              </w:rPr>
              <w:t>2</w:t>
            </w:r>
            <w:r>
              <w:rPr>
                <w:rFonts w:ascii="仿宋_GB2312" w:hAnsi="Times New Roman" w:eastAsia="仿宋_GB2312"/>
              </w:rPr>
              <w:t>3</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 w:hAnsi="仿宋" w:eastAsia="仿宋"/>
                <w:color w:val="FF0000"/>
                <w:kern w:val="0"/>
                <w:sz w:val="24"/>
              </w:rPr>
            </w:pPr>
            <w:r>
              <w:rPr>
                <w:rFonts w:hint="eastAsia" w:ascii="仿宋" w:hAnsi="仿宋" w:eastAsia="仿宋"/>
                <w:color w:val="FF0000"/>
                <w:sz w:val="24"/>
              </w:rPr>
              <w:t>构成招标文件的其他材料</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FF0000"/>
                <w:sz w:val="24"/>
              </w:rPr>
            </w:pPr>
            <w:r>
              <w:rPr>
                <w:rFonts w:hint="eastAsia" w:ascii="仿宋" w:hAnsi="仿宋" w:eastAsia="仿宋"/>
                <w:color w:val="FF0000"/>
                <w:sz w:val="24"/>
              </w:rPr>
              <w:t>本工程施工图、工程量清单及招标澄清修改文件。</w:t>
            </w:r>
          </w:p>
        </w:tc>
      </w:tr>
      <w:permEnd w:id="5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jc w:val="center"/>
              <w:rPr>
                <w:rFonts w:ascii="仿宋_GB2312" w:hAnsi="Times New Roman" w:eastAsia="仿宋_GB2312"/>
              </w:rPr>
            </w:pPr>
            <w:permStart w:id="59" w:edGrp="everyone" w:colFirst="2" w:colLast="2"/>
            <w:r>
              <w:rPr>
                <w:rFonts w:hint="eastAsia" w:ascii="仿宋_GB2312" w:hAnsi="Times New Roman" w:eastAsia="仿宋_GB2312"/>
              </w:rPr>
              <w:t>2</w:t>
            </w:r>
            <w:r>
              <w:rPr>
                <w:rFonts w:ascii="仿宋_GB2312" w:hAnsi="Times New Roman" w:eastAsia="仿宋_GB2312"/>
              </w:rPr>
              <w:t>4</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 w:hAnsi="仿宋" w:eastAsia="仿宋"/>
                <w:color w:val="FF0000"/>
                <w:kern w:val="0"/>
                <w:sz w:val="24"/>
              </w:rPr>
            </w:pPr>
            <w:r>
              <w:rPr>
                <w:rFonts w:hint="eastAsia" w:ascii="仿宋" w:hAnsi="仿宋" w:eastAsia="仿宋"/>
                <w:color w:val="FF0000"/>
                <w:sz w:val="24"/>
              </w:rPr>
              <w:t>最高投标限价</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FF0000"/>
                <w:sz w:val="24"/>
              </w:rPr>
            </w:pPr>
          </w:p>
        </w:tc>
      </w:tr>
      <w:permEnd w:id="5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jc w:val="center"/>
              <w:rPr>
                <w:rFonts w:ascii="仿宋_GB2312" w:hAnsi="Times New Roman" w:eastAsia="仿宋_GB2312"/>
              </w:rPr>
            </w:pPr>
            <w:r>
              <w:rPr>
                <w:rFonts w:hint="eastAsia" w:ascii="仿宋_GB2312" w:hAnsi="Times New Roman" w:eastAsia="仿宋_GB2312"/>
              </w:rPr>
              <w:t>2</w:t>
            </w:r>
            <w:r>
              <w:rPr>
                <w:rFonts w:ascii="仿宋_GB2312" w:hAnsi="Times New Roman" w:eastAsia="仿宋_GB2312"/>
              </w:rPr>
              <w:t>5</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color w:val="FF0000"/>
                <w:sz w:val="24"/>
              </w:rPr>
            </w:pPr>
            <w:r>
              <w:rPr>
                <w:rFonts w:hint="eastAsia" w:ascii="仿宋" w:hAnsi="仿宋" w:eastAsia="仿宋"/>
                <w:color w:val="FF0000"/>
                <w:sz w:val="24"/>
              </w:rPr>
              <w:t>投标人提出疑问的截止时间及提交方式</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宋体" w:eastAsia="仿宋_GB2312"/>
                <w:color w:val="FF0000"/>
                <w:sz w:val="24"/>
              </w:rPr>
            </w:pPr>
            <w:permStart w:id="60" w:edGrp="everyone"/>
            <w:r>
              <w:rPr>
                <w:rFonts w:hint="eastAsia" w:ascii="仿宋" w:hAnsi="仿宋" w:eastAsia="仿宋"/>
                <w:color w:val="FF0000"/>
                <w:sz w:val="24"/>
              </w:rPr>
              <w:t>提交时间和方式：年月日时前提交电子版至邮箱</w:t>
            </w:r>
            <w:r>
              <w:rPr>
                <w:rFonts w:ascii="仿宋" w:hAnsi="仿宋" w:eastAsia="仿宋"/>
                <w:color w:val="FF0000"/>
                <w:sz w:val="24"/>
              </w:rPr>
              <w:t>1669690600</w:t>
            </w:r>
            <w:r>
              <w:rPr>
                <w:rFonts w:hint="eastAsia" w:ascii="仿宋" w:hAnsi="仿宋" w:eastAsia="仿宋"/>
                <w:color w:val="FF0000"/>
                <w:sz w:val="24"/>
              </w:rPr>
              <w:t>＠</w:t>
            </w:r>
            <w:r>
              <w:rPr>
                <w:rFonts w:ascii="仿宋" w:hAnsi="仿宋" w:eastAsia="仿宋"/>
                <w:color w:val="FF0000"/>
                <w:sz w:val="24"/>
              </w:rPr>
              <w:t>qq.com</w:t>
            </w:r>
            <w:r>
              <w:rPr>
                <w:rFonts w:hint="eastAsia" w:ascii="仿宋" w:hAnsi="仿宋" w:eastAsia="仿宋"/>
                <w:color w:val="FF0000"/>
                <w:sz w:val="24"/>
              </w:rPr>
              <w:t>。逾期不予受理（不得署名）。</w:t>
            </w:r>
            <w:permEnd w:id="6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rPr>
                <w:rFonts w:ascii="仿宋_GB2312" w:hAnsi="Times New Roman" w:eastAsia="仿宋_GB2312"/>
              </w:rPr>
            </w:pPr>
            <w:r>
              <w:rPr>
                <w:rFonts w:hint="eastAsia" w:ascii="仿宋_GB2312" w:hAnsi="Times New Roman" w:eastAsia="仿宋_GB2312"/>
              </w:rPr>
              <w:t>2</w:t>
            </w:r>
            <w:r>
              <w:rPr>
                <w:rFonts w:ascii="仿宋_GB2312" w:hAnsi="Times New Roman" w:eastAsia="仿宋_GB2312"/>
              </w:rPr>
              <w:t>6</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color w:val="FF0000"/>
                <w:sz w:val="24"/>
              </w:rPr>
            </w:pPr>
            <w:r>
              <w:rPr>
                <w:rFonts w:hint="eastAsia" w:ascii="仿宋" w:hAnsi="仿宋" w:eastAsia="仿宋"/>
                <w:color w:val="FF0000"/>
                <w:sz w:val="24"/>
              </w:rPr>
              <w:t>招标人澄清的时间及方式</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宋体" w:eastAsia="仿宋_GB2312"/>
                <w:color w:val="FF0000"/>
                <w:sz w:val="24"/>
              </w:rPr>
            </w:pPr>
            <w:r>
              <w:rPr>
                <w:rFonts w:hint="eastAsia" w:ascii="仿宋" w:hAnsi="仿宋" w:eastAsia="仿宋"/>
                <w:color w:val="FF0000"/>
                <w:sz w:val="24"/>
              </w:rPr>
              <w:t>招标文件的澄清与修改：</w:t>
            </w:r>
            <w:r>
              <w:rPr>
                <w:rFonts w:ascii="仿宋" w:hAnsi="仿宋" w:eastAsia="仿宋"/>
                <w:color w:val="FF0000"/>
                <w:sz w:val="24"/>
              </w:rPr>
              <w:t xml:space="preserve"> </w:t>
            </w:r>
            <w:permStart w:id="61" w:edGrp="everyone"/>
            <w:r>
              <w:rPr>
                <w:rFonts w:hint="eastAsia" w:ascii="仿宋" w:hAnsi="仿宋" w:eastAsia="仿宋"/>
                <w:color w:val="FF0000"/>
                <w:sz w:val="24"/>
              </w:rPr>
              <w:t>年月日时前</w:t>
            </w:r>
            <w:permEnd w:id="61"/>
            <w:r>
              <w:rPr>
                <w:rFonts w:hint="eastAsia" w:ascii="仿宋" w:hAnsi="仿宋" w:eastAsia="仿宋"/>
                <w:color w:val="FF0000"/>
                <w:sz w:val="24"/>
              </w:rPr>
              <w:t>于蚌埠市公共资源交易中心网站（网址：</w:t>
            </w:r>
            <w:r>
              <w:fldChar w:fldCharType="begin"/>
            </w:r>
            <w:r>
              <w:instrText xml:space="preserve"> HYPERLINK "http://www.bbztb.cn" </w:instrText>
            </w:r>
            <w:r>
              <w:fldChar w:fldCharType="separate"/>
            </w:r>
            <w:r>
              <w:rPr>
                <w:rFonts w:ascii="仿宋" w:hAnsi="仿宋" w:eastAsia="仿宋"/>
                <w:color w:val="FF0000"/>
                <w:sz w:val="24"/>
              </w:rPr>
              <w:t>ggzy.bengbu.gov.cn</w:t>
            </w:r>
            <w:r>
              <w:rPr>
                <w:rFonts w:ascii="仿宋" w:hAnsi="仿宋" w:eastAsia="仿宋"/>
                <w:color w:val="FF0000"/>
                <w:sz w:val="24"/>
              </w:rPr>
              <w:fldChar w:fldCharType="end"/>
            </w:r>
            <w:r>
              <w:rPr>
                <w:rFonts w:hint="eastAsia" w:ascii="仿宋" w:hAnsi="仿宋" w:eastAsia="仿宋"/>
                <w:color w:val="FF0000"/>
                <w:sz w:val="24"/>
              </w:rPr>
              <w:t>）发布，招标人不再另行通知，该澄清或修改构成招标文件的组成部分，对投标人具有同样约束力效力。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jc w:val="center"/>
              <w:rPr>
                <w:rFonts w:ascii="仿宋_GB2312" w:hAnsi="Times New Roman" w:eastAsia="仿宋_GB2312"/>
              </w:rPr>
            </w:pPr>
            <w:r>
              <w:rPr>
                <w:rFonts w:hint="eastAsia" w:ascii="仿宋_GB2312" w:hAnsi="Times New Roman" w:eastAsia="仿宋_GB2312"/>
              </w:rPr>
              <w:t>2</w:t>
            </w:r>
            <w:r>
              <w:rPr>
                <w:rFonts w:ascii="仿宋_GB2312" w:hAnsi="Times New Roman" w:eastAsia="仿宋_GB2312"/>
              </w:rPr>
              <w:t>7</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color w:val="FF0000"/>
                <w:sz w:val="24"/>
              </w:rPr>
            </w:pPr>
            <w:r>
              <w:rPr>
                <w:rFonts w:hint="eastAsia" w:ascii="仿宋" w:hAnsi="仿宋" w:eastAsia="仿宋"/>
                <w:color w:val="FF0000"/>
                <w:sz w:val="24"/>
              </w:rPr>
              <w:t>投标文件制作</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仿宋" w:hAnsi="仿宋" w:eastAsia="仿宋"/>
                <w:color w:val="000000"/>
                <w:sz w:val="24"/>
              </w:rPr>
            </w:pPr>
            <w:r>
              <w:rPr>
                <w:rFonts w:hint="eastAsia" w:ascii="仿宋" w:hAnsi="仿宋" w:eastAsia="仿宋"/>
                <w:color w:val="000000"/>
                <w:sz w:val="24"/>
              </w:rPr>
              <w:t>1、投标文件使用最新版投标文件制作工具制作生成。</w:t>
            </w:r>
          </w:p>
          <w:p>
            <w:pPr>
              <w:adjustRightInd w:val="0"/>
              <w:snapToGrid w:val="0"/>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投标文件制作的具体方法详见“蚌埠市公共资源交易中心网站—办事指南—下载中心”《蚌埠网上招投标系统电子标书制作工具及网上投标操作手册、演示视频》。</w:t>
            </w:r>
          </w:p>
          <w:p>
            <w:pPr>
              <w:adjustRightInd w:val="0"/>
              <w:snapToGrid w:val="0"/>
              <w:rPr>
                <w:rFonts w:ascii="仿宋" w:hAnsi="仿宋" w:eastAsia="仿宋"/>
                <w:color w:val="000000"/>
                <w:sz w:val="24"/>
              </w:rPr>
            </w:pPr>
            <w:r>
              <w:rPr>
                <w:rFonts w:hint="eastAsia" w:ascii="仿宋" w:hAnsi="仿宋" w:eastAsia="仿宋"/>
                <w:color w:val="000000"/>
                <w:sz w:val="24"/>
                <w:lang w:val="en-US" w:eastAsia="zh-CN"/>
              </w:rPr>
              <w:t>3、</w:t>
            </w:r>
            <w:r>
              <w:rPr>
                <w:rFonts w:hint="eastAsia" w:ascii="仿宋" w:hAnsi="仿宋" w:eastAsia="仿宋"/>
                <w:color w:val="000000"/>
                <w:sz w:val="24"/>
              </w:rPr>
              <w:t>制作技术投标文件时插上数字证书，按上述</w:t>
            </w:r>
            <w:r>
              <w:rPr>
                <w:rFonts w:hint="eastAsia" w:ascii="仿宋" w:hAnsi="仿宋" w:eastAsia="仿宋"/>
                <w:color w:val="000000"/>
                <w:sz w:val="24"/>
                <w:lang w:eastAsia="zh-CN"/>
              </w:rPr>
              <w:t>“</w:t>
            </w:r>
            <w:r>
              <w:rPr>
                <w:rFonts w:hint="eastAsia" w:ascii="仿宋" w:hAnsi="仿宋" w:eastAsia="仿宋"/>
                <w:color w:val="000000"/>
                <w:sz w:val="24"/>
                <w:lang w:val="en-US" w:eastAsia="zh-CN"/>
              </w:rPr>
              <w:t>2</w:t>
            </w:r>
            <w:r>
              <w:rPr>
                <w:rFonts w:hint="eastAsia" w:ascii="仿宋" w:hAnsi="仿宋" w:eastAsia="仿宋"/>
                <w:color w:val="000000"/>
                <w:sz w:val="24"/>
                <w:lang w:eastAsia="zh-CN"/>
              </w:rPr>
              <w:t>”</w:t>
            </w:r>
            <w:r>
              <w:rPr>
                <w:rFonts w:hint="eastAsia" w:ascii="仿宋" w:hAnsi="仿宋" w:eastAsia="仿宋"/>
                <w:color w:val="000000"/>
                <w:sz w:val="24"/>
              </w:rPr>
              <w:t>中规定操作方法，必须从投标企业系统对应栏目的注册信息中，链接挑选审核通过的相关材料；否则，不予采信。</w:t>
            </w:r>
            <w:r>
              <w:rPr>
                <w:rFonts w:ascii="仿宋" w:hAnsi="仿宋" w:eastAsia="仿宋"/>
                <w:color w:val="000000"/>
                <w:sz w:val="24"/>
              </w:rPr>
              <w:t>相关材料及对应栏目是指：</w:t>
            </w:r>
          </w:p>
          <w:p>
            <w:pPr>
              <w:adjustRightInd w:val="0"/>
              <w:snapToGrid w:val="0"/>
              <w:rPr>
                <w:rFonts w:hint="eastAsia" w:ascii="仿宋" w:hAnsi="仿宋" w:eastAsia="仿宋"/>
                <w:color w:val="000000"/>
                <w:sz w:val="24"/>
              </w:rPr>
            </w:pPr>
            <w:r>
              <w:rPr>
                <w:rFonts w:hint="eastAsia" w:ascii="仿宋" w:hAnsi="仿宋" w:eastAsia="仿宋"/>
                <w:color w:val="000000"/>
                <w:sz w:val="24"/>
              </w:rPr>
              <w:t>①企业各类证件信息（包括营业执照、组织机构代码证、资质证书、安全生产许可证、基本账户信息、各类生产经营许可证</w:t>
            </w:r>
            <w:r>
              <w:rPr>
                <w:rFonts w:hint="eastAsia" w:ascii="仿宋" w:hAnsi="仿宋" w:eastAsia="仿宋"/>
                <w:color w:val="000000"/>
                <w:sz w:val="24"/>
              </w:rPr>
              <w:t>），上传到对应栏目为“基本信息”。</w:t>
            </w:r>
          </w:p>
          <w:p>
            <w:pPr>
              <w:adjustRightInd w:val="0"/>
              <w:snapToGrid w:val="0"/>
              <w:rPr>
                <w:rFonts w:hint="eastAsia" w:ascii="仿宋" w:hAnsi="仿宋" w:eastAsia="仿宋"/>
                <w:color w:val="000000"/>
                <w:sz w:val="24"/>
              </w:rPr>
            </w:pPr>
            <w:r>
              <w:rPr>
                <w:rFonts w:hint="eastAsia" w:ascii="仿宋" w:hAnsi="仿宋" w:eastAsia="仿宋"/>
                <w:color w:val="000000"/>
                <w:sz w:val="24"/>
              </w:rPr>
              <w:t>②企业、人员业绩信息，上传到对应栏目为“企业业绩”。</w:t>
            </w:r>
          </w:p>
          <w:p>
            <w:pPr>
              <w:adjustRightInd w:val="0"/>
              <w:snapToGrid w:val="0"/>
              <w:spacing w:line="300" w:lineRule="exact"/>
              <w:rPr>
                <w:rFonts w:ascii="仿宋" w:hAnsi="仿宋" w:eastAsia="仿宋"/>
                <w:color w:val="000000"/>
                <w:sz w:val="24"/>
              </w:rPr>
            </w:pPr>
            <w:r>
              <w:rPr>
                <w:rFonts w:hint="eastAsia" w:ascii="仿宋" w:hAnsi="仿宋" w:eastAsia="仿宋"/>
                <w:color w:val="000000"/>
                <w:sz w:val="24"/>
              </w:rPr>
              <w:t>③企业、人员奖项信息，上传到对应栏目为“企业获奖”。</w:t>
            </w:r>
          </w:p>
          <w:p>
            <w:pPr>
              <w:adjustRightInd w:val="0"/>
              <w:snapToGrid w:val="0"/>
              <w:spacing w:line="300" w:lineRule="exact"/>
              <w:rPr>
                <w:rFonts w:ascii="仿宋" w:hAnsi="仿宋" w:eastAsia="仿宋"/>
                <w:color w:val="000000"/>
                <w:sz w:val="24"/>
              </w:rPr>
            </w:pPr>
            <w:r>
              <w:rPr>
                <w:rFonts w:hint="eastAsia" w:ascii="仿宋" w:hAnsi="仿宋" w:eastAsia="仿宋"/>
                <w:color w:val="000000"/>
                <w:sz w:val="24"/>
              </w:rPr>
              <w:t>④项目经理、项目总监等项目负责人信息（包括资格证书、安全证书、职称证书、执业证书、学历证明、身份证明信息），上传到对应栏目为“项目经理</w:t>
            </w:r>
            <w:r>
              <w:rPr>
                <w:rFonts w:ascii="仿宋" w:hAnsi="仿宋" w:eastAsia="仿宋"/>
                <w:color w:val="000000"/>
                <w:sz w:val="24"/>
              </w:rPr>
              <w:t>/</w:t>
            </w:r>
            <w:r>
              <w:rPr>
                <w:rFonts w:hint="eastAsia" w:ascii="仿宋" w:hAnsi="仿宋" w:eastAsia="仿宋"/>
                <w:color w:val="000000"/>
                <w:sz w:val="24"/>
              </w:rPr>
              <w:t>项目总监</w:t>
            </w:r>
            <w:r>
              <w:rPr>
                <w:rFonts w:ascii="仿宋" w:hAnsi="仿宋" w:eastAsia="仿宋"/>
                <w:color w:val="000000"/>
                <w:sz w:val="24"/>
              </w:rPr>
              <w:t>/</w:t>
            </w:r>
            <w:r>
              <w:rPr>
                <w:rFonts w:hint="eastAsia" w:ascii="仿宋" w:hAnsi="仿宋" w:eastAsia="仿宋"/>
                <w:color w:val="000000"/>
                <w:sz w:val="24"/>
              </w:rPr>
              <w:t>项目负责人”。</w:t>
            </w:r>
          </w:p>
          <w:p>
            <w:pPr>
              <w:adjustRightInd w:val="0"/>
              <w:snapToGrid w:val="0"/>
              <w:spacing w:line="300" w:lineRule="exact"/>
              <w:rPr>
                <w:rFonts w:ascii="仿宋" w:hAnsi="仿宋" w:eastAsia="仿宋"/>
                <w:color w:val="000000"/>
                <w:sz w:val="24"/>
              </w:rPr>
            </w:pPr>
            <w:r>
              <w:rPr>
                <w:rFonts w:hint="eastAsia" w:ascii="仿宋" w:hAnsi="仿宋" w:eastAsia="仿宋"/>
                <w:color w:val="000000"/>
                <w:sz w:val="24"/>
              </w:rPr>
              <w:t>⑤技术负责人等其他招标文件要求的人员信息（包括资格证书、安全证书、职称证书、执业证书、学历证明、身份证明信息），上传到对应栏目为“项目管理人员”。</w:t>
            </w:r>
          </w:p>
          <w:p>
            <w:pPr>
              <w:adjustRightInd w:val="0"/>
              <w:snapToGrid w:val="0"/>
              <w:spacing w:line="300" w:lineRule="exact"/>
              <w:rPr>
                <w:rFonts w:hint="eastAsia" w:ascii="仿宋" w:hAnsi="仿宋" w:eastAsia="仿宋"/>
                <w:color w:val="000000"/>
                <w:sz w:val="24"/>
              </w:rPr>
            </w:pPr>
            <w:r>
              <w:rPr>
                <w:rFonts w:hint="eastAsia" w:ascii="仿宋" w:hAnsi="仿宋" w:eastAsia="仿宋"/>
                <w:color w:val="000000"/>
                <w:sz w:val="24"/>
              </w:rPr>
              <w:t>⑥除上述①</w:t>
            </w:r>
            <w:r>
              <w:rPr>
                <w:rFonts w:ascii="仿宋" w:hAnsi="仿宋" w:eastAsia="仿宋"/>
                <w:color w:val="000000"/>
                <w:sz w:val="24"/>
              </w:rPr>
              <w:t>-</w:t>
            </w:r>
            <w:r>
              <w:rPr>
                <w:rFonts w:hint="eastAsia" w:ascii="仿宋" w:hAnsi="仿宋" w:eastAsia="仿宋"/>
                <w:color w:val="000000"/>
                <w:sz w:val="24"/>
              </w:rPr>
              <w:t>⑤之外的其他涉及资信加分的信息（施工组织设计、监理大纲除外），例如企业银行资信证书、</w:t>
            </w:r>
            <w:r>
              <w:rPr>
                <w:rFonts w:ascii="仿宋" w:hAnsi="仿宋" w:eastAsia="仿宋"/>
                <w:color w:val="000000"/>
                <w:sz w:val="24"/>
              </w:rPr>
              <w:t>ISO</w:t>
            </w:r>
            <w:r>
              <w:rPr>
                <w:rFonts w:hint="eastAsia" w:ascii="仿宋" w:hAnsi="仿宋" w:eastAsia="仿宋"/>
                <w:color w:val="000000"/>
                <w:sz w:val="24"/>
              </w:rPr>
              <w:t>证书等其它各类证书证明信息，上传到对应栏目为“企业各类证书”。</w:t>
            </w:r>
          </w:p>
          <w:p>
            <w:pPr>
              <w:adjustRightInd w:val="0"/>
              <w:snapToGrid w:val="0"/>
              <w:spacing w:line="300" w:lineRule="exact"/>
              <w:rPr>
                <w:rFonts w:ascii="仿宋" w:hAnsi="仿宋" w:eastAsia="仿宋"/>
                <w:color w:val="000000"/>
                <w:sz w:val="24"/>
              </w:rPr>
            </w:pPr>
            <w:r>
              <w:rPr>
                <w:rFonts w:hint="eastAsia" w:ascii="仿宋" w:hAnsi="仿宋" w:eastAsia="仿宋"/>
                <w:color w:val="000000"/>
                <w:sz w:val="24"/>
              </w:rPr>
              <w:t>⑦同一材料具有不同作用，应上传到不同的对应栏目。</w:t>
            </w:r>
          </w:p>
          <w:p>
            <w:pPr>
              <w:adjustRightInd w:val="0"/>
              <w:snapToGrid w:val="0"/>
              <w:spacing w:line="300" w:lineRule="exact"/>
              <w:rPr>
                <w:rFonts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、在招标文件“投标文件格式”中，要求盖公章的，应加盖投标人单位公章；要求法定代表人（或委托代理人）签字或盖章的，应由法定代表人（或委托代理人）签字或加盖个人印鉴章。</w:t>
            </w:r>
          </w:p>
          <w:p>
            <w:pPr>
              <w:rPr>
                <w:rFonts w:hint="eastAsia" w:ascii="仿宋" w:hAnsi="仿宋" w:eastAsia="仿宋"/>
                <w:color w:val="000000"/>
                <w:sz w:val="24"/>
                <w:lang w:val="en-US" w:eastAsia="zh-CN"/>
              </w:rPr>
            </w:pPr>
            <w:r>
              <w:rPr>
                <w:rFonts w:hint="eastAsia" w:ascii="仿宋" w:hAnsi="仿宋" w:eastAsia="仿宋"/>
                <w:color w:val="000000"/>
                <w:sz w:val="24"/>
                <w:lang w:val="en-US" w:eastAsia="zh-CN"/>
              </w:rPr>
              <w:t>5</w:t>
            </w:r>
            <w:r>
              <w:rPr>
                <w:rFonts w:hint="eastAsia" w:ascii="仿宋" w:hAnsi="仿宋" w:eastAsia="仿宋"/>
                <w:color w:val="000000"/>
                <w:sz w:val="24"/>
              </w:rPr>
              <w:t>、投标文件制作完成后，投标人应对投标文件进行文件加密，形成加密的投标文件。采用数字证书加密的，加密时投标文件的所有内容均只能使用同一把数字证书进行加密，否则引起的解密失败责任由投标人自行承担。</w:t>
            </w:r>
            <w:r>
              <w:rPr>
                <w:rFonts w:hint="eastAsia" w:ascii="仿宋" w:hAnsi="仿宋" w:eastAsia="仿宋"/>
                <w:color w:val="000000"/>
                <w:sz w:val="24"/>
                <w:lang w:val="en-US" w:eastAsia="zh-CN"/>
              </w:rPr>
              <w:t>投标人应对制作的投标文件质量负责，确保投标文件内容清晰、完整、可用，投标文件内容系统无法识别的，产生的不利后果由投标人自行承担。</w:t>
            </w:r>
          </w:p>
          <w:p>
            <w:pPr>
              <w:rPr>
                <w:rFonts w:hint="eastAsia" w:ascii="仿宋" w:hAnsi="仿宋" w:eastAsia="仿宋"/>
                <w:color w:val="000000"/>
                <w:sz w:val="24"/>
                <w:lang w:val="en-US" w:eastAsia="zh-CN"/>
              </w:rPr>
            </w:pPr>
            <w:r>
              <w:rPr>
                <w:rFonts w:hint="eastAsia" w:ascii="仿宋" w:hAnsi="仿宋" w:eastAsia="仿宋"/>
                <w:color w:val="000000"/>
                <w:sz w:val="24"/>
                <w:lang w:val="en-US" w:eastAsia="zh-CN"/>
              </w:rPr>
              <w:t>6、技术标中不得出现投标总价（费率）或能计算出投标总价（费率）的内容，否则投标无效。</w:t>
            </w:r>
          </w:p>
          <w:p>
            <w:pPr>
              <w:rPr>
                <w:rFonts w:hint="eastAsia" w:ascii="仿宋" w:hAnsi="仿宋" w:eastAsia="仿宋"/>
                <w:color w:val="000000"/>
                <w:sz w:val="24"/>
                <w:lang w:val="en-US" w:eastAsia="zh-CN"/>
              </w:rPr>
            </w:pPr>
            <w:r>
              <w:rPr>
                <w:rFonts w:hint="eastAsia" w:ascii="仿宋" w:hAnsi="仿宋" w:eastAsia="仿宋"/>
                <w:color w:val="000000"/>
                <w:sz w:val="24"/>
                <w:lang w:val="en-US" w:eastAsia="zh-CN"/>
              </w:rPr>
              <w:t>7、本项目采用网上投标，无须提交纸质投标文件，招标文件中有关纸质投标文件的制作、装订、密封等要求不再适用。</w:t>
            </w:r>
          </w:p>
          <w:p>
            <w:pPr>
              <w:adjustRightInd w:val="0"/>
              <w:snapToGrid w:val="0"/>
              <w:rPr>
                <w:rFonts w:ascii="仿宋_GB2312" w:hAnsi="宋体" w:eastAsia="仿宋_GB2312"/>
                <w:color w:val="FF0000"/>
                <w:sz w:val="24"/>
              </w:rPr>
            </w:pPr>
            <w:r>
              <w:rPr>
                <w:rFonts w:hint="eastAsia" w:ascii="仿宋" w:hAnsi="仿宋" w:eastAsia="仿宋"/>
                <w:color w:val="000000"/>
                <w:sz w:val="24"/>
                <w:lang w:val="en-US" w:eastAsia="zh-CN"/>
              </w:rPr>
              <w:t>8、投标文件内容中属于互联网网站内容的，投标人须提供该网页的截图或扫描件；投标人仅提供网站链接，未提供该网页截图或扫描件的，评审时不予认可，按照投标文件制作要求已上传的投标文件资料除外。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6"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sz w:val="24"/>
                <w:szCs w:val="28"/>
              </w:rPr>
            </w:pPr>
            <w:r>
              <w:rPr>
                <w:rFonts w:ascii="仿宋_GB2312" w:hAnsi="宋体" w:eastAsia="仿宋_GB2312"/>
                <w:sz w:val="24"/>
                <w:szCs w:val="28"/>
              </w:rPr>
              <w:t>28</w:t>
            </w:r>
          </w:p>
        </w:tc>
        <w:tc>
          <w:tcPr>
            <w:tcW w:w="210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宋体" w:eastAsia="仿宋_GB2312"/>
                <w:sz w:val="24"/>
              </w:rPr>
            </w:pPr>
            <w:r>
              <w:rPr>
                <w:rFonts w:hint="eastAsia" w:ascii="仿宋_GB2312" w:hAnsi="宋体" w:eastAsia="仿宋_GB2312"/>
                <w:sz w:val="24"/>
              </w:rPr>
              <w:t>投标人替代方案</w:t>
            </w:r>
          </w:p>
        </w:tc>
        <w:tc>
          <w:tcPr>
            <w:tcW w:w="7477" w:type="dxa"/>
            <w:tcBorders>
              <w:top w:val="single" w:color="auto" w:sz="4" w:space="0"/>
              <w:left w:val="single" w:color="auto" w:sz="4" w:space="0"/>
              <w:bottom w:val="single" w:color="auto" w:sz="4" w:space="0"/>
              <w:right w:val="single" w:color="auto" w:sz="4" w:space="0"/>
            </w:tcBorders>
            <w:vAlign w:val="center"/>
          </w:tcPr>
          <w:p>
            <w:pPr>
              <w:pStyle w:val="15"/>
              <w:widowControl/>
              <w:adjustRightInd/>
              <w:spacing w:line="300" w:lineRule="exact"/>
              <w:jc w:val="both"/>
              <w:rPr>
                <w:rFonts w:ascii="仿宋_GB2312" w:hAnsi="宋体" w:eastAsia="仿宋_GB2312"/>
                <w:kern w:val="2"/>
                <w:szCs w:val="24"/>
              </w:rPr>
            </w:pPr>
            <w:r>
              <w:rPr>
                <w:rFonts w:hint="eastAsia" w:ascii="仿宋_GB2312" w:hAnsi="宋体" w:eastAsia="仿宋_GB2312"/>
                <w:kern w:val="2"/>
                <w:szCs w:val="24"/>
              </w:rPr>
              <w:t>不允许采用替代方案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4"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widowControl w:val="0"/>
              <w:spacing w:before="0" w:beforeAutospacing="0" w:after="0" w:afterAutospacing="0" w:line="300" w:lineRule="exact"/>
              <w:jc w:val="center"/>
              <w:rPr>
                <w:rFonts w:ascii="仿宋_GB2312" w:eastAsia="仿宋_GB2312"/>
                <w:kern w:val="2"/>
                <w:szCs w:val="28"/>
              </w:rPr>
            </w:pPr>
            <w:r>
              <w:rPr>
                <w:rFonts w:hint="eastAsia" w:ascii="仿宋_GB2312" w:eastAsia="仿宋_GB2312"/>
                <w:kern w:val="2"/>
                <w:szCs w:val="28"/>
              </w:rPr>
              <w:t>2</w:t>
            </w:r>
            <w:r>
              <w:rPr>
                <w:rFonts w:ascii="仿宋_GB2312" w:eastAsia="仿宋_GB2312"/>
                <w:kern w:val="2"/>
                <w:szCs w:val="28"/>
              </w:rPr>
              <w:t>9</w:t>
            </w:r>
          </w:p>
        </w:tc>
        <w:tc>
          <w:tcPr>
            <w:tcW w:w="21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b/>
                <w:sz w:val="24"/>
              </w:rPr>
            </w:pPr>
            <w:r>
              <w:rPr>
                <w:rFonts w:hint="eastAsia" w:ascii="仿宋_GB2312" w:hAnsi="宋体" w:eastAsia="仿宋_GB2312"/>
                <w:sz w:val="24"/>
              </w:rPr>
              <w:t>投标文件</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黑体" w:hAnsi="宋体" w:eastAsia="黑体"/>
                <w:color w:val="000000" w:themeColor="text1"/>
                <w:sz w:val="24"/>
              </w:rPr>
            </w:pPr>
            <w:r>
              <w:rPr>
                <w:rFonts w:hint="eastAsia" w:ascii="黑体" w:hAnsi="宋体" w:eastAsia="黑体"/>
                <w:color w:val="000000" w:themeColor="text1"/>
                <w:sz w:val="24"/>
              </w:rPr>
              <w:t>1、本项目采用网上投标，无须提交纸质投标文件，招标文件中有关纸质投标文件的制作、装订、密封等要求不再适用；</w:t>
            </w:r>
          </w:p>
          <w:p>
            <w:pPr>
              <w:adjustRightInd w:val="0"/>
              <w:snapToGrid w:val="0"/>
              <w:spacing w:line="300" w:lineRule="exact"/>
              <w:rPr>
                <w:rFonts w:ascii="黑体" w:hAnsi="宋体" w:eastAsia="黑体"/>
                <w:sz w:val="24"/>
              </w:rPr>
            </w:pPr>
            <w:r>
              <w:rPr>
                <w:rFonts w:hint="eastAsia" w:ascii="黑体" w:hAnsi="宋体" w:eastAsia="黑体"/>
                <w:color w:val="000000" w:themeColor="text1"/>
                <w:sz w:val="24"/>
              </w:rPr>
              <w:t>2、加密电子投标文件应在投标截止时间前通过市交易中心投标企业系统完成上传；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7" w:hRule="atLeast"/>
          <w:jc w:val="center"/>
        </w:trPr>
        <w:tc>
          <w:tcPr>
            <w:tcW w:w="777" w:type="dxa"/>
            <w:tcBorders>
              <w:top w:val="single" w:color="auto" w:sz="4" w:space="0"/>
              <w:left w:val="single" w:color="auto" w:sz="4" w:space="0"/>
              <w:bottom w:val="single" w:color="auto" w:sz="4" w:space="0"/>
              <w:right w:val="single" w:color="auto" w:sz="4" w:space="0"/>
            </w:tcBorders>
            <w:vAlign w:val="center"/>
          </w:tcPr>
          <w:p>
            <w:pPr>
              <w:pStyle w:val="89"/>
              <w:widowControl w:val="0"/>
              <w:spacing w:before="0" w:beforeAutospacing="0" w:after="0" w:afterAutospacing="0" w:line="300" w:lineRule="exact"/>
              <w:jc w:val="center"/>
              <w:rPr>
                <w:rFonts w:ascii="仿宋_GB2312" w:eastAsia="仿宋_GB2312"/>
                <w:kern w:val="2"/>
                <w:szCs w:val="28"/>
              </w:rPr>
            </w:pPr>
            <w:permStart w:id="62" w:edGrp="everyone" w:colFirst="2" w:colLast="2"/>
            <w:r>
              <w:rPr>
                <w:rFonts w:ascii="仿宋_GB2312" w:eastAsia="仿宋_GB2312"/>
                <w:kern w:val="2"/>
                <w:szCs w:val="28"/>
              </w:rPr>
              <w:t>30</w:t>
            </w:r>
          </w:p>
        </w:tc>
        <w:tc>
          <w:tcPr>
            <w:tcW w:w="2101" w:type="dxa"/>
            <w:tcBorders>
              <w:top w:val="single" w:color="auto" w:sz="4" w:space="0"/>
              <w:left w:val="single" w:color="auto" w:sz="4" w:space="0"/>
              <w:bottom w:val="single" w:color="auto" w:sz="4" w:space="0"/>
              <w:right w:val="single" w:color="auto" w:sz="4" w:space="0"/>
            </w:tcBorders>
            <w:vAlign w:val="center"/>
          </w:tcPr>
          <w:p>
            <w:pPr>
              <w:pStyle w:val="89"/>
              <w:widowControl w:val="0"/>
              <w:spacing w:before="0" w:beforeAutospacing="0" w:after="0" w:afterAutospacing="0" w:line="300" w:lineRule="exact"/>
              <w:jc w:val="center"/>
              <w:rPr>
                <w:rFonts w:ascii="仿宋_GB2312" w:eastAsia="仿宋_GB2312"/>
              </w:rPr>
            </w:pPr>
            <w:r>
              <w:rPr>
                <w:rFonts w:hint="eastAsia" w:ascii="仿宋_GB2312" w:eastAsia="仿宋_GB2312"/>
              </w:rPr>
              <w:t>投标有效期</w:t>
            </w:r>
          </w:p>
        </w:tc>
        <w:tc>
          <w:tcPr>
            <w:tcW w:w="7477"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sz w:val="24"/>
              </w:rPr>
            </w:pPr>
            <w:r>
              <w:rPr>
                <w:rFonts w:ascii="仿宋" w:hAnsi="仿宋" w:eastAsia="仿宋"/>
                <w:sz w:val="24"/>
              </w:rPr>
              <w:t>1</w:t>
            </w:r>
            <w:r>
              <w:rPr>
                <w:rFonts w:hint="eastAsia" w:ascii="仿宋" w:hAnsi="仿宋" w:eastAsia="仿宋"/>
                <w:sz w:val="24"/>
              </w:rPr>
              <w:t>、投标有效期为</w:t>
            </w:r>
            <w:r>
              <w:rPr>
                <w:rFonts w:ascii="仿宋" w:hAnsi="仿宋" w:eastAsia="仿宋"/>
                <w:sz w:val="24"/>
              </w:rPr>
              <w:t>90</w:t>
            </w:r>
            <w:r>
              <w:rPr>
                <w:rFonts w:hint="eastAsia" w:ascii="仿宋" w:hAnsi="仿宋" w:eastAsia="仿宋"/>
                <w:sz w:val="24"/>
              </w:rPr>
              <w:t>天。</w:t>
            </w:r>
          </w:p>
          <w:p>
            <w:pPr>
              <w:pStyle w:val="89"/>
              <w:spacing w:before="0" w:beforeAutospacing="0" w:after="0" w:afterAutospacing="0" w:line="300" w:lineRule="exact"/>
              <w:jc w:val="both"/>
              <w:rPr>
                <w:rFonts w:ascii="仿宋_GB2312" w:eastAsia="仿宋_GB2312"/>
              </w:rPr>
            </w:pPr>
            <w:r>
              <w:rPr>
                <w:rFonts w:ascii="仿宋" w:hAnsi="仿宋" w:eastAsia="仿宋"/>
              </w:rPr>
              <w:t>2</w:t>
            </w:r>
            <w:r>
              <w:rPr>
                <w:rFonts w:hint="eastAsia" w:ascii="仿宋" w:hAnsi="仿宋" w:eastAsia="仿宋"/>
              </w:rPr>
              <w:t>、在原投标有效期结束前，出现特殊情况需要延长投标有效期的，经公共资源交易监督管理部门批准同意后，招标人应以书面形式通知所有投标人延长投标有效期，并在蚌埠市公共资源交易网上进行公告，延长期限不得超过30日，未经批准、未经公告延长投标有效期的无效。投标人同意延长的应以书面形式回复确认。</w:t>
            </w:r>
          </w:p>
        </w:tc>
      </w:tr>
      <w:permEnd w:id="62"/>
    </w:tbl>
    <w:p>
      <w:pPr>
        <w:pStyle w:val="3"/>
        <w:rPr>
          <w:rFonts w:ascii="仿宋_GB2312" w:hAnsi="华文仿宋" w:eastAsia="仿宋_GB2312"/>
          <w:b w:val="0"/>
          <w:bCs/>
          <w:sz w:val="28"/>
          <w:szCs w:val="44"/>
        </w:rPr>
        <w:sectPr>
          <w:pgSz w:w="11907" w:h="16840"/>
          <w:pgMar w:top="1077" w:right="1134" w:bottom="1077" w:left="1134" w:header="680" w:footer="907" w:gutter="0"/>
          <w:cols w:space="720" w:num="1"/>
          <w:docGrid w:linePitch="271" w:charSpace="0"/>
        </w:sectPr>
      </w:pPr>
      <w:bookmarkStart w:id="6" w:name="_Toc200336329"/>
    </w:p>
    <w:p>
      <w:pPr>
        <w:pStyle w:val="3"/>
        <w:rPr>
          <w:rFonts w:ascii="仿宋_GB2312" w:hAnsi="宋体" w:eastAsia="仿宋_GB2312"/>
        </w:rPr>
      </w:pPr>
      <w:r>
        <w:rPr>
          <w:rFonts w:hint="eastAsia" w:ascii="仿宋_GB2312" w:hAnsi="华文仿宋" w:eastAsia="仿宋_GB2312"/>
          <w:b w:val="0"/>
          <w:bCs/>
          <w:sz w:val="28"/>
          <w:szCs w:val="44"/>
        </w:rPr>
        <w:t>前附表2</w:t>
      </w:r>
      <w:bookmarkEnd w:id="6"/>
    </w:p>
    <w:tbl>
      <w:tblPr>
        <w:tblStyle w:val="49"/>
        <w:tblW w:w="1040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5"/>
        <w:gridCol w:w="1620"/>
        <w:gridCol w:w="79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ind w:right="-358"/>
              <w:jc w:val="center"/>
              <w:rPr>
                <w:rFonts w:ascii="仿宋_GB2312" w:hAnsi="宋体" w:eastAsia="仿宋_GB2312"/>
                <w:sz w:val="24"/>
              </w:rPr>
            </w:pPr>
            <w:bookmarkStart w:id="7" w:name="_Toc171741988"/>
            <w:bookmarkStart w:id="8" w:name="_Toc200336330"/>
            <w:r>
              <w:rPr>
                <w:rFonts w:hint="eastAsia" w:ascii="仿宋_GB2312" w:hAnsi="宋体" w:eastAsia="仿宋_GB2312"/>
                <w:sz w:val="24"/>
              </w:rPr>
              <w:t>序号</w:t>
            </w:r>
          </w:p>
        </w:tc>
        <w:tc>
          <w:tcPr>
            <w:tcW w:w="162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ind w:right="-358"/>
              <w:jc w:val="center"/>
              <w:rPr>
                <w:rFonts w:ascii="仿宋_GB2312" w:hAnsi="宋体" w:eastAsia="仿宋_GB2312"/>
                <w:sz w:val="24"/>
              </w:rPr>
            </w:pPr>
            <w:r>
              <w:rPr>
                <w:rFonts w:hint="eastAsia" w:ascii="仿宋_GB2312" w:hAnsi="宋体" w:eastAsia="仿宋_GB2312"/>
                <w:sz w:val="24"/>
              </w:rPr>
              <w:t>序列名称</w:t>
            </w:r>
          </w:p>
        </w:tc>
        <w:tc>
          <w:tcPr>
            <w:tcW w:w="7971" w:type="dxa"/>
            <w:tcBorders>
              <w:top w:val="single" w:color="auto" w:sz="4" w:space="0"/>
              <w:left w:val="single" w:color="auto" w:sz="4" w:space="0"/>
              <w:bottom w:val="single" w:color="auto" w:sz="4" w:space="0"/>
              <w:right w:val="single" w:color="auto" w:sz="4" w:space="0"/>
            </w:tcBorders>
            <w:vAlign w:val="center"/>
          </w:tcPr>
          <w:p>
            <w:pPr>
              <w:tabs>
                <w:tab w:val="left" w:pos="1180"/>
              </w:tabs>
              <w:adjustRightInd w:val="0"/>
              <w:snapToGrid w:val="0"/>
              <w:spacing w:beforeLines="20" w:afterLines="20" w:line="320" w:lineRule="exact"/>
              <w:ind w:right="-358"/>
              <w:jc w:val="center"/>
              <w:rPr>
                <w:rFonts w:ascii="仿宋_GB2312" w:hAnsi="宋体" w:eastAsia="仿宋_GB2312"/>
                <w:sz w:val="24"/>
              </w:rPr>
            </w:pPr>
            <w:r>
              <w:rPr>
                <w:rFonts w:hint="eastAsia" w:ascii="仿宋_GB2312" w:hAnsi="宋体" w:eastAsia="仿宋_GB2312"/>
                <w:sz w:val="24"/>
              </w:rPr>
              <w:t>序列内容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13"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pStyle w:val="89"/>
              <w:widowControl w:val="0"/>
              <w:spacing w:before="0" w:beforeAutospacing="0" w:after="0" w:afterAutospacing="0" w:line="300" w:lineRule="exact"/>
              <w:jc w:val="center"/>
              <w:rPr>
                <w:rFonts w:ascii="仿宋_GB2312" w:eastAsia="仿宋_GB2312"/>
                <w:kern w:val="2"/>
              </w:rPr>
            </w:pPr>
            <w:r>
              <w:rPr>
                <w:rFonts w:ascii="仿宋_GB2312" w:eastAsia="仿宋_GB2312"/>
                <w:kern w:val="2"/>
              </w:rPr>
              <w:t>31</w:t>
            </w:r>
          </w:p>
        </w:tc>
        <w:tc>
          <w:tcPr>
            <w:tcW w:w="1620" w:type="dxa"/>
            <w:tcBorders>
              <w:top w:val="single" w:color="auto" w:sz="4" w:space="0"/>
              <w:left w:val="single" w:color="auto" w:sz="4" w:space="0"/>
              <w:bottom w:val="single" w:color="auto" w:sz="4" w:space="0"/>
              <w:right w:val="single" w:color="auto" w:sz="4" w:space="0"/>
            </w:tcBorders>
            <w:vAlign w:val="center"/>
          </w:tcPr>
          <w:p>
            <w:pPr>
              <w:pStyle w:val="89"/>
              <w:widowControl w:val="0"/>
              <w:spacing w:before="0" w:beforeAutospacing="0" w:after="0" w:afterAutospacing="0" w:line="300" w:lineRule="exact"/>
              <w:jc w:val="center"/>
              <w:rPr>
                <w:rStyle w:val="52"/>
                <w:rFonts w:ascii="仿宋" w:hAnsi="仿宋" w:eastAsia="仿宋"/>
                <w:b w:val="0"/>
              </w:rPr>
            </w:pPr>
            <w:r>
              <w:rPr>
                <w:rStyle w:val="52"/>
                <w:rFonts w:hint="eastAsia" w:ascii="仿宋" w:hAnsi="仿宋" w:eastAsia="仿宋"/>
                <w:b w:val="0"/>
              </w:rPr>
              <w:t>投标保证金</w:t>
            </w:r>
          </w:p>
          <w:p>
            <w:pPr>
              <w:pStyle w:val="89"/>
              <w:widowControl w:val="0"/>
              <w:spacing w:before="0" w:beforeAutospacing="0" w:after="0" w:afterAutospacing="0" w:line="300" w:lineRule="exact"/>
              <w:jc w:val="center"/>
              <w:rPr>
                <w:rStyle w:val="52"/>
                <w:rFonts w:ascii="黑体" w:eastAsia="黑体"/>
                <w:b w:val="0"/>
              </w:rPr>
            </w:pPr>
            <w:permStart w:id="63" w:edGrp="everyone"/>
            <w:r>
              <w:rPr>
                <w:rStyle w:val="52"/>
                <w:rFonts w:hint="eastAsia" w:ascii="仿宋" w:hAnsi="仿宋" w:eastAsia="仿宋"/>
                <w:b w:val="0"/>
              </w:rPr>
              <w:t>招标文件费用</w:t>
            </w:r>
            <w:permEnd w:id="63"/>
          </w:p>
        </w:tc>
        <w:tc>
          <w:tcPr>
            <w:tcW w:w="7971" w:type="dxa"/>
            <w:tcBorders>
              <w:top w:val="single" w:color="auto" w:sz="4" w:space="0"/>
              <w:left w:val="single" w:color="auto" w:sz="4" w:space="0"/>
              <w:bottom w:val="single" w:color="auto" w:sz="4" w:space="0"/>
              <w:right w:val="single" w:color="auto" w:sz="4" w:space="0"/>
            </w:tcBorders>
            <w:vAlign w:val="center"/>
          </w:tcPr>
          <w:p>
            <w:pPr>
              <w:spacing w:line="260" w:lineRule="exact"/>
              <w:rPr>
                <w:rFonts w:ascii="黑体" w:hAnsi="宋体" w:eastAsia="黑体"/>
                <w:kern w:val="0"/>
                <w:sz w:val="24"/>
              </w:rPr>
            </w:pPr>
            <w:r>
              <w:rPr>
                <w:rFonts w:hint="eastAsia" w:ascii="黑体" w:hAnsi="宋体" w:eastAsia="黑体"/>
                <w:kern w:val="0"/>
                <w:sz w:val="24"/>
              </w:rPr>
              <w:t>1、保证金缴纳方式和数额：</w:t>
            </w:r>
          </w:p>
          <w:p>
            <w:pPr>
              <w:spacing w:line="260" w:lineRule="exact"/>
              <w:ind w:firstLine="120" w:firstLineChars="50"/>
              <w:rPr>
                <w:rFonts w:ascii="仿宋" w:hAnsi="仿宋" w:eastAsia="仿宋"/>
                <w:kern w:val="0"/>
                <w:sz w:val="24"/>
                <w:shd w:val="pct10" w:color="auto" w:fill="FFFFFF"/>
              </w:rPr>
            </w:pPr>
            <w:r>
              <w:rPr>
                <w:rFonts w:hint="eastAsia" w:ascii="仿宋" w:hAnsi="仿宋" w:eastAsia="仿宋"/>
                <w:kern w:val="0"/>
                <w:sz w:val="24"/>
                <w:shd w:val="pct10" w:color="auto" w:fill="FFFFFF"/>
              </w:rPr>
              <w:t>①</w:t>
            </w:r>
            <w:r>
              <w:rPr>
                <w:rFonts w:hint="eastAsia" w:ascii="仿宋" w:hAnsi="仿宋" w:eastAsia="仿宋"/>
                <w:kern w:val="0"/>
                <w:sz w:val="24"/>
                <w:shd w:val="pct10" w:color="auto" w:fill="FFFFFF"/>
                <w:lang w:val="en-US" w:eastAsia="zh-CN"/>
              </w:rPr>
              <w:t>投标保证金的形式：银行转账、电子保函</w:t>
            </w:r>
          </w:p>
          <w:p>
            <w:pPr>
              <w:spacing w:line="260" w:lineRule="exact"/>
              <w:ind w:firstLine="120" w:firstLineChars="50"/>
              <w:rPr>
                <w:rFonts w:ascii="仿宋" w:hAnsi="仿宋" w:eastAsia="仿宋"/>
                <w:sz w:val="24"/>
                <w:u w:val="single"/>
                <w:shd w:val="pct10" w:color="auto" w:fill="FFFFFF"/>
              </w:rPr>
            </w:pPr>
            <w:permStart w:id="64" w:edGrp="everyone"/>
            <w:r>
              <w:rPr>
                <w:rFonts w:hint="eastAsia" w:ascii="仿宋" w:hAnsi="仿宋" w:eastAsia="仿宋"/>
                <w:kern w:val="0"/>
                <w:sz w:val="24"/>
                <w:shd w:val="pct10" w:color="auto" w:fill="FFFFFF"/>
              </w:rPr>
              <w:t>②保证金数额</w:t>
            </w:r>
            <w:r>
              <w:rPr>
                <w:rFonts w:hint="eastAsia" w:ascii="仿宋" w:hAnsi="仿宋" w:eastAsia="仿宋"/>
                <w:kern w:val="0"/>
                <w:sz w:val="24"/>
                <w:shd w:val="pct10" w:color="auto" w:fill="FFFFFF"/>
                <w:lang w:eastAsia="zh-CN"/>
              </w:rPr>
              <w:t>（担保金额）</w:t>
            </w:r>
            <w:r>
              <w:rPr>
                <w:rFonts w:hint="eastAsia" w:ascii="仿宋" w:hAnsi="仿宋" w:eastAsia="仿宋"/>
                <w:kern w:val="0"/>
                <w:sz w:val="24"/>
                <w:shd w:val="pct10" w:color="auto" w:fill="FFFFFF"/>
              </w:rPr>
              <w:t>：</w:t>
            </w:r>
            <w:r>
              <w:rPr>
                <w:rFonts w:hint="eastAsia" w:ascii="仿宋" w:hAnsi="仿宋" w:eastAsia="仿宋"/>
                <w:sz w:val="24"/>
                <w:u w:val="single"/>
                <w:shd w:val="pct10" w:color="auto" w:fill="FFFFFF"/>
                <w:lang w:val="en-US" w:eastAsia="zh-CN"/>
              </w:rPr>
              <w:t xml:space="preserve">          </w:t>
            </w:r>
          </w:p>
          <w:p>
            <w:pPr>
              <w:spacing w:line="260" w:lineRule="exact"/>
              <w:ind w:firstLine="120" w:firstLineChars="50"/>
              <w:rPr>
                <w:rFonts w:ascii="仿宋" w:hAnsi="仿宋" w:eastAsia="仿宋"/>
                <w:kern w:val="0"/>
                <w:sz w:val="24"/>
                <w:shd w:val="pct10" w:color="auto" w:fill="FFFFFF"/>
              </w:rPr>
            </w:pPr>
            <w:r>
              <w:rPr>
                <w:rFonts w:hint="eastAsia" w:ascii="仿宋" w:hAnsi="仿宋" w:eastAsia="仿宋"/>
                <w:kern w:val="0"/>
                <w:sz w:val="24"/>
                <w:shd w:val="pct10" w:color="auto" w:fill="FFFFFF"/>
              </w:rPr>
              <w:t>③</w:t>
            </w:r>
            <w:r>
              <w:rPr>
                <w:rFonts w:hint="eastAsia" w:ascii="仿宋" w:hAnsi="仿宋" w:eastAsia="仿宋"/>
                <w:kern w:val="0"/>
                <w:sz w:val="24"/>
                <w:shd w:val="pct10" w:color="auto" w:fill="FFFFFF"/>
                <w:lang w:eastAsia="zh-CN"/>
              </w:rPr>
              <w:t>转账方式</w:t>
            </w:r>
            <w:r>
              <w:rPr>
                <w:rFonts w:hint="eastAsia" w:ascii="仿宋" w:hAnsi="仿宋" w:eastAsia="仿宋"/>
                <w:kern w:val="0"/>
                <w:sz w:val="24"/>
                <w:shd w:val="pct10" w:color="auto" w:fill="FFFFFF"/>
              </w:rPr>
              <w:t>投标保证金到账时间</w:t>
            </w:r>
            <w:r>
              <w:rPr>
                <w:rFonts w:hint="eastAsia" w:ascii="仿宋" w:hAnsi="仿宋" w:eastAsia="仿宋"/>
                <w:kern w:val="0"/>
                <w:sz w:val="24"/>
                <w:shd w:val="pct10" w:color="auto" w:fill="FFFFFF"/>
                <w:lang w:val="en-US" w:eastAsia="zh-CN"/>
              </w:rPr>
              <w:t xml:space="preserve">  </w:t>
            </w:r>
            <w:r>
              <w:rPr>
                <w:rFonts w:hint="eastAsia" w:ascii="仿宋" w:hAnsi="仿宋" w:eastAsia="仿宋"/>
                <w:kern w:val="0"/>
                <w:sz w:val="24"/>
                <w:shd w:val="pct10" w:color="auto" w:fill="FFFFFF"/>
              </w:rPr>
              <w:t>年</w:t>
            </w:r>
            <w:r>
              <w:rPr>
                <w:rFonts w:hint="eastAsia" w:ascii="仿宋" w:hAnsi="仿宋" w:eastAsia="仿宋"/>
                <w:kern w:val="0"/>
                <w:sz w:val="24"/>
                <w:shd w:val="pct10" w:color="auto" w:fill="FFFFFF"/>
                <w:lang w:val="en-US" w:eastAsia="zh-CN"/>
              </w:rPr>
              <w:t xml:space="preserve"> </w:t>
            </w:r>
            <w:r>
              <w:rPr>
                <w:rFonts w:hint="eastAsia" w:ascii="仿宋" w:hAnsi="仿宋" w:eastAsia="仿宋"/>
                <w:kern w:val="0"/>
                <w:sz w:val="24"/>
                <w:shd w:val="pct10" w:color="auto" w:fill="FFFFFF"/>
              </w:rPr>
              <w:t>月</w:t>
            </w:r>
            <w:r>
              <w:rPr>
                <w:rFonts w:hint="eastAsia" w:ascii="仿宋" w:hAnsi="仿宋" w:eastAsia="仿宋"/>
                <w:kern w:val="0"/>
                <w:sz w:val="24"/>
                <w:shd w:val="pct10" w:color="auto" w:fill="FFFFFF"/>
                <w:lang w:val="en-US" w:eastAsia="zh-CN"/>
              </w:rPr>
              <w:t xml:space="preserve"> </w:t>
            </w:r>
            <w:r>
              <w:rPr>
                <w:rFonts w:hint="eastAsia" w:ascii="仿宋" w:hAnsi="仿宋" w:eastAsia="仿宋"/>
                <w:kern w:val="0"/>
                <w:sz w:val="24"/>
                <w:shd w:val="pct10" w:color="auto" w:fill="FFFFFF"/>
              </w:rPr>
              <w:t>日</w:t>
            </w:r>
            <w:r>
              <w:rPr>
                <w:rFonts w:hint="eastAsia" w:ascii="仿宋" w:hAnsi="仿宋" w:eastAsia="仿宋"/>
                <w:kern w:val="0"/>
                <w:sz w:val="24"/>
                <w:shd w:val="pct10" w:color="auto" w:fill="FFFFFF"/>
                <w:lang w:val="en-US" w:eastAsia="zh-CN"/>
              </w:rPr>
              <w:t xml:space="preserve"> </w:t>
            </w:r>
            <w:r>
              <w:rPr>
                <w:rFonts w:hint="eastAsia" w:ascii="仿宋" w:hAnsi="仿宋" w:eastAsia="仿宋"/>
                <w:kern w:val="0"/>
                <w:sz w:val="24"/>
                <w:shd w:val="pct10" w:color="auto" w:fill="FFFFFF"/>
              </w:rPr>
              <w:t>时前；否则视同不响应招标文件。</w:t>
            </w:r>
          </w:p>
          <w:p>
            <w:pPr>
              <w:spacing w:line="260" w:lineRule="exact"/>
              <w:ind w:left="38" w:leftChars="18" w:firstLine="117" w:firstLineChars="49"/>
              <w:rPr>
                <w:rFonts w:hint="eastAsia" w:ascii="仿宋" w:hAnsi="仿宋" w:eastAsia="仿宋"/>
                <w:kern w:val="0"/>
                <w:sz w:val="24"/>
                <w:shd w:val="pct10" w:color="auto" w:fill="FFFFFF"/>
              </w:rPr>
            </w:pPr>
            <w:r>
              <w:rPr>
                <w:rFonts w:hint="eastAsia" w:ascii="仿宋" w:hAnsi="仿宋" w:eastAsia="仿宋"/>
                <w:kern w:val="0"/>
                <w:sz w:val="24"/>
                <w:shd w:val="pct10" w:color="auto" w:fill="FFFFFF"/>
              </w:rPr>
              <w:t>④</w:t>
            </w:r>
            <w:r>
              <w:rPr>
                <w:rFonts w:hint="eastAsia" w:ascii="仿宋" w:hAnsi="仿宋" w:eastAsia="仿宋"/>
                <w:kern w:val="0"/>
                <w:sz w:val="24"/>
                <w:shd w:val="pct10" w:color="auto" w:fill="FFFFFF"/>
                <w:lang w:eastAsia="zh-CN"/>
              </w:rPr>
              <w:t>转账方式</w:t>
            </w:r>
            <w:r>
              <w:rPr>
                <w:rFonts w:hint="eastAsia" w:ascii="仿宋" w:hAnsi="仿宋" w:eastAsia="仿宋"/>
                <w:kern w:val="0"/>
                <w:sz w:val="24"/>
                <w:shd w:val="pct10" w:color="auto" w:fill="FFFFFF"/>
              </w:rPr>
              <w:t>保证金退付时限：投标单位的投标保证金，最迟于中标人与招标人签订合同备案后，5日内退回其基本账户。投标保证金以现金或者转账形式递交的，还应退还银行同期存款利息。因投标人的原因不能退付的，上缴国库。</w:t>
            </w:r>
          </w:p>
          <w:p>
            <w:pPr>
              <w:spacing w:line="260" w:lineRule="exact"/>
              <w:rPr>
                <w:rFonts w:hint="eastAsia" w:ascii="仿宋_GB2312" w:hAnsi="宋体" w:eastAsia="仿宋_GB2312"/>
                <w:color w:val="FF0000"/>
                <w:kern w:val="0"/>
                <w:sz w:val="24"/>
              </w:rPr>
            </w:pPr>
            <w:r>
              <w:rPr>
                <w:rFonts w:ascii="仿宋" w:hAnsi="仿宋" w:eastAsia="仿宋"/>
                <w:kern w:val="0"/>
                <w:sz w:val="24"/>
                <w:shd w:val="pct10" w:color="auto" w:fill="FFFFFF"/>
              </w:rPr>
              <w:t>2</w:t>
            </w:r>
            <w:r>
              <w:rPr>
                <w:rFonts w:hint="eastAsia" w:ascii="仿宋" w:hAnsi="仿宋" w:eastAsia="仿宋"/>
                <w:kern w:val="0"/>
                <w:sz w:val="24"/>
                <w:shd w:val="pct10" w:color="auto" w:fill="FFFFFF"/>
              </w:rPr>
              <w:t>、注意事项：</w:t>
            </w:r>
          </w:p>
          <w:p>
            <w:pPr>
              <w:rPr>
                <w:rFonts w:ascii="黑体" w:hAnsi="宋体" w:eastAsia="黑体"/>
                <w:kern w:val="0"/>
                <w:sz w:val="24"/>
              </w:rPr>
            </w:pPr>
            <w:r>
              <w:rPr>
                <w:rFonts w:hint="eastAsia" w:ascii="黑体" w:hAnsi="宋体" w:eastAsia="黑体"/>
                <w:kern w:val="0"/>
                <w:sz w:val="24"/>
                <w:lang w:eastAsia="zh-CN"/>
              </w:rPr>
              <w:t>转账方式</w:t>
            </w:r>
            <w:r>
              <w:rPr>
                <w:rFonts w:hint="eastAsia" w:ascii="黑体" w:hAnsi="宋体" w:eastAsia="黑体"/>
                <w:kern w:val="0"/>
                <w:sz w:val="24"/>
              </w:rPr>
              <w:t>缴纳保证金时须在交易附言中注明：</w:t>
            </w:r>
            <w:r>
              <w:rPr>
                <w:rFonts w:hint="eastAsia" w:ascii="仿宋" w:hAnsi="仿宋" w:eastAsia="仿宋"/>
                <w:kern w:val="0"/>
                <w:sz w:val="24"/>
                <w:u w:val="single"/>
                <w:shd w:val="pct10" w:color="auto" w:fill="FFFFFF"/>
              </w:rPr>
              <w:t>项目编号</w:t>
            </w:r>
            <w:r>
              <w:rPr>
                <w:rFonts w:hint="eastAsia" w:ascii="黑体" w:eastAsia="黑体"/>
                <w:color w:val="FF0000"/>
                <w:sz w:val="24"/>
              </w:rPr>
              <w:t>项目</w:t>
            </w:r>
            <w:r>
              <w:rPr>
                <w:rFonts w:hint="eastAsia" w:ascii="黑体" w:hAnsi="宋体" w:eastAsia="黑体"/>
                <w:color w:val="FF0000"/>
                <w:kern w:val="0"/>
                <w:sz w:val="24"/>
              </w:rPr>
              <w:t>投标保证金。</w:t>
            </w:r>
          </w:p>
          <w:permEnd w:id="64"/>
          <w:p>
            <w:pPr>
              <w:spacing w:line="260" w:lineRule="exact"/>
              <w:rPr>
                <w:rFonts w:ascii="黑体" w:hAnsi="宋体" w:eastAsia="黑体"/>
                <w:kern w:val="0"/>
                <w:sz w:val="24"/>
              </w:rPr>
            </w:pPr>
            <w:r>
              <w:rPr>
                <w:rFonts w:hint="eastAsia" w:ascii="黑体" w:hAnsi="宋体" w:eastAsia="黑体"/>
                <w:kern w:val="0"/>
                <w:sz w:val="24"/>
              </w:rPr>
              <w:t>2、注意事项：</w:t>
            </w:r>
          </w:p>
          <w:p>
            <w:pPr>
              <w:spacing w:line="260" w:lineRule="exact"/>
              <w:ind w:left="359" w:leftChars="171"/>
              <w:rPr>
                <w:rFonts w:ascii="黑体" w:hAnsi="宋体" w:eastAsia="黑体"/>
                <w:kern w:val="0"/>
                <w:sz w:val="24"/>
              </w:rPr>
            </w:pPr>
            <w:r>
              <w:rPr>
                <w:rFonts w:hint="eastAsia" w:ascii="黑体" w:hAnsi="宋体" w:eastAsia="黑体"/>
                <w:kern w:val="0"/>
                <w:sz w:val="24"/>
              </w:rPr>
              <w:t>缴纳保证金时须在交易附言中注明：</w:t>
            </w:r>
            <w:permStart w:id="65" w:edGrp="everyone"/>
            <w:r>
              <w:rPr>
                <w:rFonts w:hint="eastAsia" w:ascii="黑体" w:hAnsi="宋体" w:eastAsia="黑体"/>
                <w:kern w:val="0"/>
                <w:sz w:val="24"/>
                <w:u w:val="single"/>
              </w:rPr>
              <w:t xml:space="preserve">      </w:t>
            </w:r>
            <w:r>
              <w:rPr>
                <w:rFonts w:hint="eastAsia" w:ascii="黑体" w:eastAsia="黑体"/>
                <w:color w:val="FF0000"/>
                <w:sz w:val="24"/>
              </w:rPr>
              <w:t>项目</w:t>
            </w:r>
            <w:r>
              <w:rPr>
                <w:rFonts w:hint="eastAsia" w:ascii="黑体" w:hAnsi="宋体" w:eastAsia="黑体"/>
                <w:color w:val="FF0000"/>
                <w:kern w:val="0"/>
                <w:sz w:val="24"/>
              </w:rPr>
              <w:t>投标保证金。</w:t>
            </w:r>
            <w:permEnd w:id="65"/>
          </w:p>
          <w:p>
            <w:pPr>
              <w:spacing w:line="260" w:lineRule="exact"/>
              <w:rPr>
                <w:rFonts w:ascii="仿宋" w:hAnsi="仿宋" w:eastAsia="仿宋"/>
                <w:color w:val="FF0000"/>
                <w:kern w:val="0"/>
                <w:sz w:val="24"/>
              </w:rPr>
            </w:pPr>
            <w:r>
              <w:rPr>
                <w:rFonts w:hint="eastAsia" w:ascii="黑体" w:hAnsi="宋体" w:eastAsia="黑体"/>
                <w:color w:val="FF0000"/>
                <w:kern w:val="0"/>
                <w:sz w:val="24"/>
              </w:rPr>
              <w:t>3、</w:t>
            </w:r>
            <w:r>
              <w:rPr>
                <w:rFonts w:hint="eastAsia" w:ascii="仿宋" w:hAnsi="仿宋" w:eastAsia="仿宋"/>
                <w:color w:val="FF0000"/>
                <w:kern w:val="0"/>
                <w:sz w:val="24"/>
              </w:rPr>
              <w:t>投标人有下列情形之一的，其投标保证金不予退还：</w:t>
            </w:r>
          </w:p>
          <w:p>
            <w:pPr>
              <w:spacing w:line="260" w:lineRule="exact"/>
              <w:ind w:firstLine="120" w:firstLineChars="50"/>
              <w:rPr>
                <w:rFonts w:ascii="仿宋" w:hAnsi="仿宋" w:eastAsia="仿宋"/>
                <w:color w:val="FF0000"/>
                <w:kern w:val="0"/>
                <w:sz w:val="24"/>
              </w:rPr>
            </w:pPr>
            <w:r>
              <w:rPr>
                <w:rFonts w:hint="eastAsia" w:ascii="仿宋" w:hAnsi="仿宋" w:eastAsia="仿宋"/>
                <w:color w:val="FF0000"/>
                <w:kern w:val="0"/>
                <w:sz w:val="24"/>
              </w:rPr>
              <w:t>①发放中标通知书前，无正当理由书面提出放弃中标资格；</w:t>
            </w:r>
          </w:p>
          <w:p>
            <w:pPr>
              <w:spacing w:line="260" w:lineRule="exact"/>
              <w:ind w:firstLine="120" w:firstLineChars="50"/>
              <w:rPr>
                <w:rFonts w:ascii="仿宋" w:hAnsi="仿宋" w:eastAsia="仿宋"/>
                <w:color w:val="FF0000"/>
                <w:kern w:val="0"/>
                <w:sz w:val="24"/>
              </w:rPr>
            </w:pPr>
            <w:r>
              <w:rPr>
                <w:rFonts w:hint="eastAsia" w:ascii="仿宋" w:hAnsi="仿宋" w:eastAsia="仿宋"/>
                <w:color w:val="FF0000"/>
                <w:kern w:val="0"/>
                <w:sz w:val="24"/>
              </w:rPr>
              <w:t>②中标通知书发出后，中标人放弃中标项目，无正当理由不与招标人签订合同的，或在签订合同时向招标人提出附加条件或者更改合同实质性内容的，或者拒不提交所要求的履约保证金的；</w:t>
            </w:r>
          </w:p>
          <w:p>
            <w:pPr>
              <w:spacing w:line="260" w:lineRule="exact"/>
              <w:ind w:firstLine="120" w:firstLineChars="50"/>
              <w:rPr>
                <w:rFonts w:ascii="仿宋" w:hAnsi="仿宋" w:eastAsia="仿宋"/>
                <w:color w:val="FF0000"/>
                <w:kern w:val="0"/>
                <w:sz w:val="24"/>
              </w:rPr>
            </w:pPr>
            <w:r>
              <w:rPr>
                <w:rFonts w:hint="eastAsia" w:ascii="仿宋" w:hAnsi="仿宋" w:eastAsia="仿宋"/>
                <w:color w:val="FF0000"/>
                <w:kern w:val="0"/>
                <w:sz w:val="24"/>
              </w:rPr>
              <w:t>③投标过程中出现弄虚作假，围标、串标等违法行为被监管部门查处，行政处罚的；</w:t>
            </w:r>
          </w:p>
          <w:p>
            <w:pPr>
              <w:spacing w:line="260" w:lineRule="exact"/>
              <w:ind w:firstLine="120" w:firstLineChars="50"/>
              <w:rPr>
                <w:rFonts w:ascii="仿宋" w:hAnsi="仿宋" w:eastAsia="仿宋"/>
                <w:color w:val="FF0000"/>
                <w:kern w:val="0"/>
                <w:sz w:val="24"/>
              </w:rPr>
            </w:pPr>
            <w:r>
              <w:rPr>
                <w:rFonts w:hint="eastAsia" w:ascii="仿宋" w:hAnsi="仿宋" w:eastAsia="仿宋"/>
                <w:color w:val="FF0000"/>
                <w:kern w:val="0"/>
                <w:sz w:val="24"/>
              </w:rPr>
              <w:t>④存在其他法律、法规、规范性文件规定的不予退还投标保证金的情形；</w:t>
            </w:r>
          </w:p>
          <w:p>
            <w:pPr>
              <w:spacing w:line="260" w:lineRule="exact"/>
              <w:ind w:firstLine="120" w:firstLineChars="50"/>
              <w:rPr>
                <w:rFonts w:ascii="仿宋" w:hAnsi="仿宋" w:eastAsia="仿宋"/>
                <w:color w:val="FF0000"/>
                <w:kern w:val="0"/>
                <w:sz w:val="24"/>
              </w:rPr>
            </w:pPr>
            <w:r>
              <w:rPr>
                <w:rFonts w:hint="eastAsia" w:ascii="仿宋" w:hAnsi="仿宋" w:eastAsia="仿宋"/>
                <w:color w:val="FF0000"/>
                <w:kern w:val="0"/>
                <w:sz w:val="24"/>
              </w:rPr>
              <w:t>⑤出现上述情形同时对其不良行为予以记录。</w:t>
            </w:r>
          </w:p>
          <w:p>
            <w:pPr>
              <w:spacing w:line="260" w:lineRule="exact"/>
              <w:ind w:firstLine="120" w:firstLineChars="50"/>
              <w:rPr>
                <w:rFonts w:ascii="黑体" w:hAnsi="宋体" w:eastAsia="黑体"/>
                <w:kern w:val="0"/>
                <w:sz w:val="24"/>
              </w:rPr>
            </w:pPr>
            <w:r>
              <w:rPr>
                <w:rFonts w:hint="eastAsia" w:ascii="黑体" w:hAnsi="宋体" w:eastAsia="黑体"/>
                <w:kern w:val="0"/>
                <w:sz w:val="24"/>
              </w:rPr>
              <w:t>4、有关账户信息</w:t>
            </w:r>
          </w:p>
          <w:p>
            <w:pPr>
              <w:spacing w:line="260" w:lineRule="exact"/>
              <w:ind w:firstLine="120" w:firstLineChars="50"/>
              <w:rPr>
                <w:rFonts w:ascii="黑体" w:hAnsi="宋体" w:eastAsia="黑体"/>
                <w:color w:val="FF0000"/>
                <w:kern w:val="0"/>
                <w:sz w:val="24"/>
              </w:rPr>
            </w:pPr>
            <w:permStart w:id="66" w:edGrp="everyone"/>
            <w:r>
              <w:rPr>
                <w:rFonts w:hint="eastAsia" w:ascii="黑体" w:hAnsi="宋体" w:eastAsia="黑体"/>
                <w:color w:val="FF0000"/>
                <w:kern w:val="0"/>
                <w:sz w:val="24"/>
              </w:rPr>
              <w:t>①投标人应在开标前，</w:t>
            </w:r>
            <w:r>
              <w:rPr>
                <w:rFonts w:hint="eastAsia" w:ascii="黑体" w:hAnsi="宋体" w:eastAsia="黑体"/>
                <w:color w:val="FF0000"/>
                <w:kern w:val="0"/>
                <w:sz w:val="24"/>
                <w:u w:val="single"/>
              </w:rPr>
              <w:t>向招标人指定的以下其中一个账户账号缴纳投标保证金 。</w:t>
            </w:r>
            <w:r>
              <w:rPr>
                <w:rFonts w:hint="eastAsia" w:ascii="仿宋" w:hAnsi="仿宋" w:eastAsia="仿宋"/>
                <w:color w:val="FF0000"/>
                <w:kern w:val="0"/>
                <w:sz w:val="24"/>
                <w:u w:val="single"/>
              </w:rPr>
              <w:t>本次招标失败，再次进行招标的，投标人须按照新的账户重新缴纳投标保证金。</w:t>
            </w:r>
          </w:p>
          <w:p>
            <w:pPr>
              <w:spacing w:line="260" w:lineRule="exact"/>
              <w:ind w:firstLine="360" w:firstLineChars="150"/>
              <w:rPr>
                <w:rFonts w:ascii="黑体" w:hAnsi="宋体" w:eastAsia="黑体"/>
                <w:color w:val="FF0000"/>
                <w:kern w:val="0"/>
                <w:sz w:val="24"/>
              </w:rPr>
            </w:pPr>
            <w:r>
              <w:rPr>
                <w:rFonts w:hint="eastAsia" w:ascii="黑体" w:hAnsi="宋体" w:eastAsia="黑体"/>
                <w:color w:val="FF0000"/>
                <w:kern w:val="0"/>
                <w:sz w:val="24"/>
              </w:rPr>
              <w:t>徽商银行</w:t>
            </w:r>
          </w:p>
          <w:p>
            <w:pPr>
              <w:spacing w:line="260" w:lineRule="exact"/>
              <w:ind w:firstLine="360" w:firstLineChars="150"/>
              <w:rPr>
                <w:rFonts w:ascii="黑体" w:hAnsi="宋体" w:eastAsia="黑体"/>
                <w:color w:val="FF0000"/>
                <w:kern w:val="0"/>
                <w:sz w:val="24"/>
                <w:u w:val="single"/>
              </w:rPr>
            </w:pPr>
            <w:r>
              <w:rPr>
                <w:rFonts w:hint="eastAsia" w:ascii="黑体" w:hAnsi="宋体" w:eastAsia="黑体"/>
                <w:color w:val="FF0000"/>
                <w:kern w:val="0"/>
                <w:sz w:val="24"/>
              </w:rPr>
              <w:t>账  户：</w:t>
            </w:r>
            <w:r>
              <w:rPr>
                <w:rFonts w:hint="eastAsia" w:ascii="黑体" w:hAnsi="宋体" w:eastAsia="黑体"/>
                <w:color w:val="FF0000"/>
                <w:kern w:val="0"/>
                <w:sz w:val="24"/>
                <w:u w:val="single"/>
              </w:rPr>
              <w:t xml:space="preserve">                      </w:t>
            </w:r>
          </w:p>
          <w:p>
            <w:pPr>
              <w:spacing w:line="260" w:lineRule="exact"/>
              <w:ind w:firstLine="360" w:firstLineChars="150"/>
              <w:rPr>
                <w:rFonts w:ascii="黑体" w:hAnsi="宋体" w:eastAsia="黑体"/>
                <w:color w:val="FF0000"/>
                <w:kern w:val="0"/>
                <w:sz w:val="24"/>
              </w:rPr>
            </w:pPr>
            <w:r>
              <w:rPr>
                <w:rFonts w:hint="eastAsia" w:ascii="黑体" w:hAnsi="宋体" w:eastAsia="黑体"/>
                <w:color w:val="FF0000"/>
                <w:kern w:val="0"/>
                <w:sz w:val="24"/>
              </w:rPr>
              <w:t>账  号：</w:t>
            </w:r>
            <w:r>
              <w:rPr>
                <w:rFonts w:hint="eastAsia" w:ascii="黑体" w:hAnsi="宋体" w:eastAsia="黑体"/>
                <w:color w:val="FF0000"/>
                <w:kern w:val="0"/>
                <w:sz w:val="24"/>
                <w:u w:val="single"/>
              </w:rPr>
              <w:t xml:space="preserve">                      </w:t>
            </w:r>
          </w:p>
          <w:p>
            <w:pPr>
              <w:spacing w:line="260" w:lineRule="exact"/>
              <w:ind w:left="359" w:leftChars="171"/>
              <w:rPr>
                <w:rFonts w:ascii="黑体" w:hAnsi="宋体" w:eastAsia="黑体"/>
                <w:color w:val="FF0000"/>
                <w:kern w:val="0"/>
                <w:sz w:val="24"/>
                <w:u w:val="single"/>
              </w:rPr>
            </w:pPr>
            <w:r>
              <w:rPr>
                <w:rFonts w:hint="eastAsia" w:ascii="黑体" w:hAnsi="宋体" w:eastAsia="黑体"/>
                <w:color w:val="FF0000"/>
                <w:kern w:val="0"/>
                <w:sz w:val="24"/>
              </w:rPr>
              <w:t>开户行：</w:t>
            </w:r>
            <w:r>
              <w:rPr>
                <w:rFonts w:hint="eastAsia" w:ascii="黑体" w:hAnsi="宋体" w:eastAsia="黑体"/>
                <w:color w:val="FF0000"/>
                <w:kern w:val="0"/>
                <w:sz w:val="24"/>
                <w:u w:val="single"/>
              </w:rPr>
              <w:t xml:space="preserve">                      </w:t>
            </w:r>
          </w:p>
          <w:p>
            <w:pPr>
              <w:spacing w:line="260" w:lineRule="exact"/>
              <w:ind w:firstLine="360" w:firstLineChars="150"/>
              <w:rPr>
                <w:rFonts w:ascii="黑体" w:hAnsi="宋体" w:eastAsia="黑体"/>
                <w:color w:val="FF0000"/>
                <w:kern w:val="0"/>
                <w:sz w:val="24"/>
              </w:rPr>
            </w:pPr>
          </w:p>
          <w:p>
            <w:pPr>
              <w:spacing w:line="260" w:lineRule="exact"/>
              <w:ind w:firstLine="360" w:firstLineChars="150"/>
              <w:rPr>
                <w:rFonts w:ascii="黑体" w:hAnsi="宋体" w:eastAsia="黑体"/>
                <w:color w:val="FF0000"/>
                <w:kern w:val="0"/>
                <w:sz w:val="24"/>
              </w:rPr>
            </w:pPr>
            <w:r>
              <w:rPr>
                <w:rFonts w:hint="eastAsia" w:ascii="黑体" w:hAnsi="宋体" w:eastAsia="黑体"/>
                <w:color w:val="FF0000"/>
                <w:kern w:val="0"/>
                <w:sz w:val="24"/>
              </w:rPr>
              <w:t>工商银行</w:t>
            </w:r>
          </w:p>
          <w:p>
            <w:pPr>
              <w:spacing w:line="260" w:lineRule="exact"/>
              <w:ind w:firstLine="360" w:firstLineChars="150"/>
              <w:rPr>
                <w:rFonts w:ascii="黑体" w:hAnsi="宋体" w:eastAsia="黑体"/>
                <w:b/>
                <w:color w:val="FF0000"/>
                <w:kern w:val="0"/>
                <w:sz w:val="24"/>
              </w:rPr>
            </w:pPr>
            <w:r>
              <w:rPr>
                <w:rFonts w:hint="eastAsia" w:ascii="黑体" w:hAnsi="宋体" w:eastAsia="黑体"/>
                <w:color w:val="FF0000"/>
                <w:kern w:val="0"/>
                <w:sz w:val="24"/>
              </w:rPr>
              <w:t>账  户：</w:t>
            </w:r>
            <w:r>
              <w:rPr>
                <w:rFonts w:hint="eastAsia" w:ascii="黑体" w:hAnsi="宋体" w:eastAsia="黑体"/>
                <w:color w:val="FF0000"/>
                <w:kern w:val="0"/>
                <w:sz w:val="24"/>
                <w:u w:val="single"/>
              </w:rPr>
              <w:t xml:space="preserve">                      </w:t>
            </w:r>
          </w:p>
          <w:p>
            <w:pPr>
              <w:spacing w:line="260" w:lineRule="exact"/>
              <w:ind w:firstLine="360" w:firstLineChars="150"/>
              <w:rPr>
                <w:rFonts w:ascii="黑体" w:hAnsi="宋体" w:eastAsia="黑体"/>
                <w:color w:val="FF0000"/>
                <w:kern w:val="0"/>
                <w:sz w:val="24"/>
              </w:rPr>
            </w:pPr>
            <w:r>
              <w:rPr>
                <w:rFonts w:hint="eastAsia" w:ascii="黑体" w:hAnsi="宋体" w:eastAsia="黑体"/>
                <w:color w:val="FF0000"/>
                <w:kern w:val="0"/>
                <w:sz w:val="24"/>
              </w:rPr>
              <w:t>账  号：</w:t>
            </w:r>
            <w:r>
              <w:rPr>
                <w:rFonts w:hint="eastAsia" w:ascii="黑体" w:hAnsi="宋体" w:eastAsia="黑体"/>
                <w:color w:val="FF0000"/>
                <w:kern w:val="0"/>
                <w:sz w:val="24"/>
                <w:u w:val="single"/>
              </w:rPr>
              <w:t xml:space="preserve">                      </w:t>
            </w:r>
          </w:p>
          <w:p>
            <w:pPr>
              <w:spacing w:line="260" w:lineRule="exact"/>
              <w:ind w:left="359" w:leftChars="171"/>
              <w:rPr>
                <w:rFonts w:ascii="黑体" w:hAnsi="宋体" w:eastAsia="黑体"/>
                <w:color w:val="FF0000"/>
                <w:kern w:val="0"/>
                <w:sz w:val="24"/>
                <w:u w:val="single"/>
              </w:rPr>
            </w:pPr>
            <w:r>
              <w:rPr>
                <w:rFonts w:hint="eastAsia" w:ascii="黑体" w:hAnsi="宋体" w:eastAsia="黑体"/>
                <w:color w:val="FF0000"/>
                <w:kern w:val="0"/>
                <w:sz w:val="24"/>
              </w:rPr>
              <w:t>开户行：</w:t>
            </w:r>
            <w:r>
              <w:rPr>
                <w:rFonts w:hint="eastAsia" w:ascii="黑体" w:hAnsi="宋体" w:eastAsia="黑体"/>
                <w:color w:val="FF0000"/>
                <w:kern w:val="0"/>
                <w:sz w:val="24"/>
                <w:u w:val="single"/>
              </w:rPr>
              <w:t xml:space="preserve">                      </w:t>
            </w:r>
          </w:p>
          <w:p>
            <w:pPr>
              <w:spacing w:line="260" w:lineRule="exact"/>
              <w:ind w:firstLine="360" w:firstLineChars="150"/>
              <w:rPr>
                <w:rFonts w:ascii="黑体" w:hAnsi="宋体" w:eastAsia="黑体"/>
                <w:color w:val="FF0000"/>
                <w:kern w:val="0"/>
                <w:sz w:val="24"/>
              </w:rPr>
            </w:pPr>
          </w:p>
          <w:p>
            <w:pPr>
              <w:spacing w:line="260" w:lineRule="exact"/>
              <w:ind w:firstLine="360" w:firstLineChars="150"/>
              <w:rPr>
                <w:rFonts w:ascii="黑体" w:hAnsi="宋体" w:eastAsia="黑体"/>
                <w:color w:val="FF0000"/>
                <w:kern w:val="0"/>
                <w:sz w:val="24"/>
              </w:rPr>
            </w:pPr>
            <w:r>
              <w:rPr>
                <w:rFonts w:hint="eastAsia" w:ascii="黑体" w:hAnsi="宋体" w:eastAsia="黑体"/>
                <w:color w:val="FF0000"/>
                <w:kern w:val="0"/>
                <w:sz w:val="24"/>
              </w:rPr>
              <w:t>建设银行</w:t>
            </w:r>
          </w:p>
          <w:p>
            <w:pPr>
              <w:spacing w:line="260" w:lineRule="exact"/>
              <w:ind w:firstLine="360" w:firstLineChars="150"/>
              <w:rPr>
                <w:rFonts w:ascii="黑体" w:hAnsi="宋体" w:eastAsia="黑体"/>
                <w:color w:val="FF0000"/>
                <w:kern w:val="0"/>
                <w:sz w:val="24"/>
              </w:rPr>
            </w:pPr>
            <w:r>
              <w:rPr>
                <w:rFonts w:hint="eastAsia" w:ascii="黑体" w:hAnsi="宋体" w:eastAsia="黑体"/>
                <w:color w:val="FF0000"/>
                <w:kern w:val="0"/>
                <w:sz w:val="24"/>
              </w:rPr>
              <w:t>账  户：</w:t>
            </w:r>
            <w:r>
              <w:rPr>
                <w:rFonts w:hint="eastAsia" w:ascii="黑体" w:hAnsi="宋体" w:eastAsia="黑体"/>
                <w:color w:val="FF0000"/>
                <w:kern w:val="0"/>
                <w:sz w:val="24"/>
                <w:u w:val="single"/>
              </w:rPr>
              <w:t xml:space="preserve">                      </w:t>
            </w:r>
          </w:p>
          <w:p>
            <w:pPr>
              <w:spacing w:line="260" w:lineRule="exact"/>
              <w:ind w:firstLine="360" w:firstLineChars="150"/>
              <w:rPr>
                <w:rFonts w:ascii="黑体" w:hAnsi="宋体" w:eastAsia="黑体"/>
                <w:color w:val="FF0000"/>
                <w:kern w:val="0"/>
                <w:sz w:val="24"/>
              </w:rPr>
            </w:pPr>
            <w:r>
              <w:rPr>
                <w:rFonts w:hint="eastAsia" w:ascii="黑体" w:hAnsi="宋体" w:eastAsia="黑体"/>
                <w:color w:val="FF0000"/>
                <w:kern w:val="0"/>
                <w:sz w:val="24"/>
              </w:rPr>
              <w:t>账  号：</w:t>
            </w:r>
            <w:r>
              <w:rPr>
                <w:rFonts w:hint="eastAsia" w:ascii="黑体" w:hAnsi="宋体" w:eastAsia="黑体"/>
                <w:color w:val="FF0000"/>
                <w:kern w:val="0"/>
                <w:sz w:val="24"/>
                <w:u w:val="single"/>
              </w:rPr>
              <w:t xml:space="preserve">                      </w:t>
            </w:r>
          </w:p>
          <w:p>
            <w:pPr>
              <w:spacing w:line="260" w:lineRule="exact"/>
              <w:ind w:left="359" w:leftChars="171"/>
              <w:rPr>
                <w:rFonts w:ascii="黑体" w:hAnsi="宋体" w:eastAsia="黑体"/>
                <w:color w:val="FF0000"/>
                <w:kern w:val="0"/>
                <w:sz w:val="24"/>
              </w:rPr>
            </w:pPr>
            <w:r>
              <w:rPr>
                <w:rFonts w:hint="eastAsia" w:ascii="黑体" w:hAnsi="宋体" w:eastAsia="黑体"/>
                <w:color w:val="FF0000"/>
                <w:kern w:val="0"/>
                <w:sz w:val="24"/>
              </w:rPr>
              <w:t>开户行：</w:t>
            </w:r>
            <w:r>
              <w:rPr>
                <w:rFonts w:hint="eastAsia" w:ascii="黑体" w:hAnsi="宋体" w:eastAsia="黑体"/>
                <w:color w:val="FF0000"/>
                <w:kern w:val="0"/>
                <w:sz w:val="24"/>
                <w:u w:val="single"/>
              </w:rPr>
              <w:t xml:space="preserve">                      </w:t>
            </w:r>
          </w:p>
          <w:p>
            <w:pPr>
              <w:spacing w:line="260" w:lineRule="exact"/>
              <w:rPr>
                <w:rFonts w:ascii="宋体" w:hAnsi="宋体"/>
                <w:color w:val="000000" w:themeColor="text1"/>
                <w:kern w:val="0"/>
                <w:sz w:val="24"/>
                <w:u w:val="single"/>
              </w:rPr>
            </w:pPr>
            <w:r>
              <w:rPr>
                <w:rFonts w:hint="eastAsia" w:ascii="宋体" w:hAnsi="宋体"/>
                <w:color w:val="000000" w:themeColor="text1"/>
                <w:kern w:val="0"/>
                <w:sz w:val="24"/>
              </w:rPr>
              <w:t>②招标文件费用：</w:t>
            </w:r>
            <w:r>
              <w:rPr>
                <w:rFonts w:hint="eastAsia" w:ascii="宋体" w:hAnsi="宋体"/>
                <w:color w:val="000000" w:themeColor="text1"/>
                <w:kern w:val="0"/>
                <w:sz w:val="24"/>
                <w:u w:val="single"/>
              </w:rPr>
              <w:t xml:space="preserve">     </w:t>
            </w:r>
            <w:r>
              <w:rPr>
                <w:rFonts w:hint="eastAsia" w:ascii="宋体" w:hAnsi="宋体"/>
                <w:color w:val="000000" w:themeColor="text1"/>
                <w:kern w:val="0"/>
                <w:sz w:val="24"/>
              </w:rPr>
              <w:t>元，招标文件费用到账时间： 年 月 日 时前，否则视同不响应招标文件。</w:t>
            </w:r>
          </w:p>
          <w:p>
            <w:pPr>
              <w:pStyle w:val="26"/>
              <w:ind w:firstLine="480" w:firstLineChars="200"/>
              <w:rPr>
                <w:rFonts w:hAnsi="宋体" w:cs="Times New Roman"/>
                <w:color w:val="000000" w:themeColor="text1"/>
                <w:kern w:val="0"/>
                <w:sz w:val="24"/>
                <w:szCs w:val="24"/>
              </w:rPr>
            </w:pPr>
            <w:r>
              <w:rPr>
                <w:rFonts w:hint="eastAsia" w:hAnsi="宋体" w:cs="Times New Roman"/>
                <w:color w:val="000000" w:themeColor="text1"/>
                <w:kern w:val="0"/>
                <w:sz w:val="24"/>
                <w:szCs w:val="24"/>
              </w:rPr>
              <w:t>招标</w:t>
            </w:r>
            <w:r>
              <w:rPr>
                <w:rFonts w:hAnsi="宋体" w:cs="Times New Roman"/>
                <w:color w:val="000000" w:themeColor="text1"/>
                <w:kern w:val="0"/>
                <w:sz w:val="24"/>
                <w:szCs w:val="24"/>
              </w:rPr>
              <w:t>文件费用采用网上支付，在上传</w:t>
            </w:r>
            <w:r>
              <w:rPr>
                <w:rFonts w:hint="eastAsia" w:hAnsi="宋体" w:cs="Times New Roman"/>
                <w:color w:val="000000" w:themeColor="text1"/>
                <w:kern w:val="0"/>
                <w:sz w:val="24"/>
                <w:szCs w:val="24"/>
              </w:rPr>
              <w:t>投标（报价）</w:t>
            </w:r>
            <w:r>
              <w:rPr>
                <w:rFonts w:hAnsi="宋体" w:cs="Times New Roman"/>
                <w:color w:val="000000" w:themeColor="text1"/>
                <w:kern w:val="0"/>
                <w:sz w:val="24"/>
                <w:szCs w:val="24"/>
              </w:rPr>
              <w:t>文件页面开通网上支付渠道，系统届时会发出多次提示，提醒</w:t>
            </w:r>
            <w:r>
              <w:rPr>
                <w:rFonts w:hint="eastAsia" w:hAnsi="宋体" w:cs="Times New Roman"/>
                <w:color w:val="000000" w:themeColor="text1"/>
                <w:kern w:val="0"/>
                <w:sz w:val="24"/>
                <w:szCs w:val="24"/>
              </w:rPr>
              <w:t>投标人（供应商）</w:t>
            </w:r>
            <w:r>
              <w:rPr>
                <w:rFonts w:hAnsi="宋体" w:cs="Times New Roman"/>
                <w:color w:val="000000" w:themeColor="text1"/>
                <w:kern w:val="0"/>
                <w:sz w:val="24"/>
                <w:szCs w:val="24"/>
              </w:rPr>
              <w:t>进行网上支付。</w:t>
            </w:r>
            <w:r>
              <w:rPr>
                <w:rFonts w:hint="eastAsia" w:hAnsi="宋体" w:cs="Times New Roman"/>
                <w:color w:val="000000" w:themeColor="text1"/>
                <w:kern w:val="0"/>
                <w:sz w:val="24"/>
                <w:szCs w:val="24"/>
              </w:rPr>
              <w:t>个人</w:t>
            </w:r>
            <w:r>
              <w:rPr>
                <w:rFonts w:hAnsi="宋体" w:cs="Times New Roman"/>
                <w:color w:val="000000" w:themeColor="text1"/>
                <w:kern w:val="0"/>
                <w:sz w:val="24"/>
                <w:szCs w:val="24"/>
              </w:rPr>
              <w:t>网上银行支付、支付宝扫码支付、微信扫码支付都可以完成网上支付。（本条只适用蚌埠市招标投标咨询服务有限公司代理的项目</w:t>
            </w:r>
            <w:r>
              <w:rPr>
                <w:rFonts w:hint="eastAsia" w:hAnsi="宋体" w:cs="Times New Roman"/>
                <w:color w:val="000000" w:themeColor="text1"/>
                <w:kern w:val="0"/>
                <w:sz w:val="24"/>
                <w:szCs w:val="24"/>
              </w:rPr>
              <w:t>，其他代理机构招标文件费用现场缴纳。</w:t>
            </w:r>
            <w:r>
              <w:rPr>
                <w:rFonts w:hAnsi="宋体" w:cs="Times New Roman"/>
                <w:color w:val="000000" w:themeColor="text1"/>
                <w:kern w:val="0"/>
                <w:sz w:val="24"/>
                <w:szCs w:val="24"/>
              </w:rPr>
              <w:t>）</w:t>
            </w:r>
          </w:p>
          <w:permEnd w:id="66"/>
          <w:p>
            <w:pPr>
              <w:pStyle w:val="26"/>
              <w:rPr>
                <w:rFonts w:hint="eastAsia" w:hAnsi="宋体" w:cs="Times New Roman"/>
                <w:color w:val="000000" w:themeColor="text1"/>
                <w:kern w:val="0"/>
                <w:sz w:val="24"/>
                <w:szCs w:val="24"/>
                <w:lang w:val="en-US" w:eastAsia="zh-CN"/>
              </w:rPr>
            </w:pPr>
            <w:r>
              <w:rPr>
                <w:rFonts w:hint="eastAsia" w:hAnsi="宋体" w:cs="Times New Roman"/>
                <w:color w:val="000000" w:themeColor="text1"/>
                <w:kern w:val="0"/>
                <w:sz w:val="24"/>
                <w:szCs w:val="24"/>
                <w:lang w:val="en-US" w:eastAsia="zh-CN"/>
              </w:rPr>
              <w:t xml:space="preserve">5、投标人为联合体投标的，由牵头人基本账户转出投标保证金或由牵头人办理电子保函。 </w:t>
            </w:r>
          </w:p>
          <w:p>
            <w:pPr>
              <w:pStyle w:val="26"/>
              <w:rPr>
                <w:rFonts w:hint="eastAsia" w:hAnsi="宋体" w:cs="Times New Roman"/>
                <w:color w:val="000000" w:themeColor="text1"/>
                <w:kern w:val="0"/>
                <w:sz w:val="24"/>
                <w:szCs w:val="24"/>
                <w:lang w:val="en-US" w:eastAsia="zh-CN"/>
              </w:rPr>
            </w:pPr>
            <w:r>
              <w:rPr>
                <w:rFonts w:hint="eastAsia" w:hAnsi="宋体" w:cs="Times New Roman"/>
                <w:color w:val="000000" w:themeColor="text1"/>
                <w:kern w:val="0"/>
                <w:sz w:val="24"/>
                <w:szCs w:val="24"/>
                <w:lang w:val="en-US" w:eastAsia="zh-CN"/>
              </w:rPr>
              <w:t xml:space="preserve">6、电子保函具体要求如下： </w:t>
            </w:r>
          </w:p>
          <w:p>
            <w:pPr>
              <w:pStyle w:val="26"/>
              <w:rPr>
                <w:rFonts w:hint="eastAsia" w:hAnsi="宋体" w:cs="Times New Roman"/>
                <w:color w:val="000000" w:themeColor="text1"/>
                <w:kern w:val="0"/>
                <w:sz w:val="24"/>
                <w:szCs w:val="24"/>
                <w:lang w:val="en-US" w:eastAsia="zh-CN"/>
              </w:rPr>
            </w:pPr>
            <w:r>
              <w:rPr>
                <w:rFonts w:hint="eastAsia" w:hAnsi="宋体" w:cs="Times New Roman"/>
                <w:color w:val="000000" w:themeColor="text1"/>
                <w:kern w:val="0"/>
                <w:sz w:val="24"/>
                <w:szCs w:val="24"/>
                <w:lang w:val="en-US" w:eastAsia="zh-CN"/>
              </w:rPr>
              <w:t xml:space="preserve">①电子保函递交要求：投标人须在投标文件递交截止时间前提供与蚌埠市公共资源交易中心对接的电子保函，否则视为投标保证金未按规定要求缴纳。 </w:t>
            </w:r>
          </w:p>
          <w:p>
            <w:pPr>
              <w:pStyle w:val="26"/>
              <w:rPr>
                <w:rFonts w:hint="eastAsia" w:hAnsi="宋体" w:cs="Times New Roman"/>
                <w:color w:val="000000" w:themeColor="text1"/>
                <w:kern w:val="0"/>
                <w:sz w:val="24"/>
                <w:szCs w:val="24"/>
                <w:lang w:val="en-US" w:eastAsia="zh-CN"/>
              </w:rPr>
            </w:pPr>
            <w:r>
              <w:rPr>
                <w:rFonts w:hint="eastAsia" w:hAnsi="宋体" w:cs="Times New Roman"/>
                <w:color w:val="000000" w:themeColor="text1"/>
                <w:kern w:val="0"/>
                <w:sz w:val="24"/>
                <w:szCs w:val="24"/>
                <w:lang w:val="en-US" w:eastAsia="zh-CN"/>
              </w:rPr>
              <w:t>②电子保函生效时间须为所投项目规定的保证金到账截止时间之前，电子保函的有效期截止时间不得短于招标采购文件约定的投标有效期截止时间，否则视为投标保证金未按规定要求缴纳。</w:t>
            </w:r>
          </w:p>
          <w:p>
            <w:pPr>
              <w:pStyle w:val="26"/>
              <w:rPr>
                <w:rFonts w:hint="eastAsia" w:hAnsi="宋体" w:cs="Times New Roman"/>
                <w:color w:val="000000" w:themeColor="text1"/>
                <w:kern w:val="0"/>
                <w:sz w:val="24"/>
                <w:szCs w:val="24"/>
                <w:lang w:val="en-US" w:eastAsia="zh-CN"/>
              </w:rPr>
            </w:pPr>
            <w:r>
              <w:rPr>
                <w:rFonts w:hint="eastAsia" w:hAnsi="宋体" w:cs="Times New Roman"/>
                <w:color w:val="000000" w:themeColor="text1"/>
                <w:kern w:val="0"/>
                <w:sz w:val="24"/>
                <w:szCs w:val="24"/>
                <w:lang w:val="en-US" w:eastAsia="zh-CN"/>
              </w:rPr>
              <w:t>③投标有效期内未能确定中标成交结果，需要延长投标有效期，投标人同意延长投标有效期的，须相应延长电子保函的有效期。</w:t>
            </w:r>
          </w:p>
          <w:p>
            <w:pPr>
              <w:pStyle w:val="26"/>
              <w:rPr>
                <w:rFonts w:hint="eastAsia" w:hAnsi="宋体" w:cs="Times New Roman"/>
                <w:color w:val="000000" w:themeColor="text1"/>
                <w:kern w:val="0"/>
                <w:sz w:val="24"/>
                <w:szCs w:val="24"/>
                <w:lang w:val="en-US" w:eastAsia="zh-CN"/>
              </w:rPr>
            </w:pPr>
            <w:r>
              <w:rPr>
                <w:rFonts w:hint="eastAsia" w:hAnsi="宋体" w:cs="Times New Roman"/>
                <w:color w:val="000000" w:themeColor="text1"/>
                <w:kern w:val="0"/>
                <w:sz w:val="24"/>
                <w:szCs w:val="24"/>
                <w:lang w:val="en-US" w:eastAsia="zh-CN"/>
              </w:rPr>
              <w:t xml:space="preserve">④电子保函受益人为项目的招标采购单位，投标人存在投标保证金不予退还的情形，采用电子保函形式的将予以追缴。 </w:t>
            </w:r>
          </w:p>
          <w:p>
            <w:pPr>
              <w:pStyle w:val="26"/>
              <w:rPr>
                <w:rFonts w:hAnsi="宋体" w:cs="Times New Roman"/>
                <w:color w:val="000000" w:themeColor="text1"/>
                <w:kern w:val="0"/>
                <w:sz w:val="24"/>
                <w:szCs w:val="24"/>
              </w:rPr>
            </w:pPr>
            <w:r>
              <w:rPr>
                <w:rFonts w:hint="eastAsia" w:hAnsi="宋体" w:cs="Times New Roman"/>
                <w:color w:val="000000" w:themeColor="text1"/>
                <w:kern w:val="0"/>
                <w:sz w:val="24"/>
                <w:szCs w:val="24"/>
                <w:lang w:val="en-US" w:eastAsia="zh-CN"/>
              </w:rPr>
              <w:t>7、投标人可在以下金融机构办理电子保函：中国人民财产保险股份有限公司、徽商银行、长安责任保险股份有限公司、浦发银行、中国银行、中信银行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pStyle w:val="89"/>
              <w:widowControl w:val="0"/>
              <w:spacing w:before="0" w:beforeAutospacing="0" w:after="0" w:afterAutospacing="0" w:line="300" w:lineRule="exact"/>
              <w:jc w:val="center"/>
              <w:rPr>
                <w:rFonts w:ascii="仿宋_GB2312" w:eastAsia="仿宋_GB2312"/>
                <w:kern w:val="2"/>
              </w:rPr>
            </w:pPr>
            <w:r>
              <w:rPr>
                <w:rFonts w:ascii="仿宋_GB2312" w:eastAsia="仿宋_GB2312"/>
                <w:kern w:val="2"/>
              </w:rPr>
              <w:t>32</w:t>
            </w:r>
          </w:p>
        </w:tc>
        <w:tc>
          <w:tcPr>
            <w:tcW w:w="1620" w:type="dxa"/>
            <w:tcBorders>
              <w:top w:val="single" w:color="auto" w:sz="4" w:space="0"/>
              <w:left w:val="single" w:color="auto" w:sz="4" w:space="0"/>
              <w:bottom w:val="single" w:color="auto" w:sz="4" w:space="0"/>
              <w:right w:val="single" w:color="auto" w:sz="4" w:space="0"/>
            </w:tcBorders>
            <w:vAlign w:val="center"/>
          </w:tcPr>
          <w:p>
            <w:pPr>
              <w:pStyle w:val="89"/>
              <w:widowControl w:val="0"/>
              <w:spacing w:before="0" w:beforeAutospacing="0" w:after="0" w:afterAutospacing="0" w:line="300" w:lineRule="exact"/>
              <w:jc w:val="center"/>
              <w:rPr>
                <w:rStyle w:val="52"/>
                <w:rFonts w:ascii="仿宋_GB2312" w:eastAsia="仿宋_GB2312"/>
                <w:b w:val="0"/>
              </w:rPr>
            </w:pPr>
            <w:r>
              <w:rPr>
                <w:rStyle w:val="52"/>
                <w:rFonts w:hint="eastAsia" w:ascii="仿宋_GB2312" w:eastAsia="仿宋_GB2312"/>
                <w:b w:val="0"/>
              </w:rPr>
              <w:t>招标人工程款支付担保</w:t>
            </w:r>
          </w:p>
        </w:tc>
        <w:tc>
          <w:tcPr>
            <w:tcW w:w="7971" w:type="dxa"/>
            <w:tcBorders>
              <w:top w:val="single" w:color="auto" w:sz="4" w:space="0"/>
              <w:left w:val="single" w:color="auto" w:sz="4" w:space="0"/>
              <w:bottom w:val="single" w:color="auto" w:sz="4" w:space="0"/>
              <w:right w:val="single" w:color="auto" w:sz="4" w:space="0"/>
            </w:tcBorders>
            <w:vAlign w:val="center"/>
          </w:tcPr>
          <w:p>
            <w:pPr>
              <w:jc w:val="left"/>
              <w:rPr>
                <w:rStyle w:val="52"/>
                <w:rFonts w:ascii="仿宋_GB2312" w:hAnsi="宋体" w:eastAsia="仿宋_GB2312"/>
                <w:b w:val="0"/>
                <w:color w:val="FF0000"/>
                <w:sz w:val="24"/>
                <w:u w:val="single"/>
              </w:rPr>
            </w:pPr>
            <w:permStart w:id="67" w:edGrp="everyone"/>
            <w:r>
              <w:rPr>
                <w:rStyle w:val="52"/>
                <w:rFonts w:hint="eastAsia" w:ascii="仿宋_GB2312" w:hAnsi="宋体" w:eastAsia="仿宋_GB2312"/>
                <w:b w:val="0"/>
                <w:color w:val="FF0000"/>
                <w:sz w:val="24"/>
                <w:u w:val="single"/>
              </w:rPr>
              <w:t>不采用</w:t>
            </w:r>
            <w:permEnd w:id="67"/>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50"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pStyle w:val="89"/>
              <w:widowControl w:val="0"/>
              <w:spacing w:before="0" w:beforeAutospacing="0" w:after="0" w:afterAutospacing="0" w:line="300" w:lineRule="exact"/>
              <w:jc w:val="center"/>
              <w:rPr>
                <w:rFonts w:ascii="仿宋_GB2312" w:eastAsia="仿宋_GB2312"/>
                <w:kern w:val="2"/>
              </w:rPr>
            </w:pPr>
            <w:r>
              <w:rPr>
                <w:rFonts w:ascii="仿宋_GB2312" w:eastAsia="仿宋_GB2312"/>
                <w:kern w:val="2"/>
              </w:rPr>
              <w:t>33</w:t>
            </w:r>
          </w:p>
        </w:tc>
        <w:tc>
          <w:tcPr>
            <w:tcW w:w="1620" w:type="dxa"/>
            <w:tcBorders>
              <w:top w:val="single" w:color="auto" w:sz="4" w:space="0"/>
              <w:left w:val="single" w:color="auto" w:sz="4" w:space="0"/>
              <w:bottom w:val="single" w:color="auto" w:sz="4" w:space="0"/>
              <w:right w:val="single" w:color="auto" w:sz="4" w:space="0"/>
            </w:tcBorders>
            <w:vAlign w:val="center"/>
          </w:tcPr>
          <w:p>
            <w:pPr>
              <w:spacing w:line="320" w:lineRule="exact"/>
              <w:ind w:left="99" w:leftChars="47" w:firstLine="19" w:firstLineChars="8"/>
              <w:jc w:val="left"/>
              <w:rPr>
                <w:rFonts w:ascii="仿宋_GB2312" w:hAnsi="宋体" w:eastAsia="仿宋_GB2312"/>
                <w:kern w:val="0"/>
                <w:sz w:val="24"/>
              </w:rPr>
            </w:pPr>
            <w:r>
              <w:rPr>
                <w:rFonts w:hint="eastAsia" w:ascii="仿宋_GB2312" w:hAnsi="宋体" w:eastAsia="仿宋_GB2312"/>
                <w:kern w:val="0"/>
                <w:sz w:val="24"/>
              </w:rPr>
              <w:t>中标人履约担保</w:t>
            </w:r>
          </w:p>
        </w:tc>
        <w:tc>
          <w:tcPr>
            <w:tcW w:w="797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kern w:val="0"/>
                <w:sz w:val="24"/>
              </w:rPr>
            </w:pPr>
            <w:r>
              <w:rPr>
                <w:rFonts w:hint="eastAsia" w:ascii="仿宋_GB2312" w:hAnsi="宋体" w:eastAsia="仿宋_GB2312"/>
                <w:color w:val="FF0000"/>
                <w:kern w:val="0"/>
                <w:sz w:val="24"/>
              </w:rPr>
              <w:t>1.担保方式：</w:t>
            </w:r>
            <w:r>
              <w:rPr>
                <w:rFonts w:hint="eastAsia" w:ascii="仿宋_GB2312" w:hAnsi="宋体" w:eastAsia="仿宋_GB2312"/>
                <w:color w:val="FF0000"/>
                <w:kern w:val="0"/>
                <w:sz w:val="24"/>
                <w:u w:val="single"/>
              </w:rPr>
              <w:t>银行转账或见索即付银行保函或</w:t>
            </w:r>
            <w:r>
              <w:rPr>
                <w:rFonts w:hint="eastAsia" w:ascii="仿宋_GB2312" w:hAnsi="宋体" w:eastAsia="仿宋_GB2312"/>
                <w:color w:val="0070C0"/>
                <w:kern w:val="0"/>
                <w:sz w:val="24"/>
                <w:u w:val="single"/>
              </w:rPr>
              <w:t>投保保险公司建设工程施工合同履约保证保险</w:t>
            </w:r>
          </w:p>
          <w:p>
            <w:pPr>
              <w:rPr>
                <w:rFonts w:ascii="仿宋_GB2312" w:hAnsi="宋体" w:eastAsia="仿宋_GB2312"/>
                <w:color w:val="FF0000"/>
                <w:kern w:val="0"/>
                <w:sz w:val="24"/>
              </w:rPr>
            </w:pPr>
            <w:permStart w:id="68" w:edGrp="everyone"/>
            <w:r>
              <w:rPr>
                <w:rFonts w:hint="eastAsia" w:ascii="仿宋_GB2312" w:hAnsi="宋体" w:eastAsia="仿宋_GB2312"/>
                <w:color w:val="FF0000"/>
                <w:kern w:val="0"/>
                <w:sz w:val="24"/>
              </w:rPr>
              <w:t>2.担保数额：中标价的10%。中标人在中标通知书发出后，合同签订前，必须缴纳履约担保</w:t>
            </w:r>
            <w:r>
              <w:rPr>
                <w:rFonts w:hint="eastAsia" w:ascii="仿宋_GB2312" w:hAnsi="宋体" w:eastAsia="仿宋_GB2312"/>
                <w:color w:val="0070C0"/>
                <w:kern w:val="0"/>
                <w:sz w:val="24"/>
              </w:rPr>
              <w:t>（银行转账、见索即付银行保函、投保保险公司建设工程施工合同履约保证保险）</w:t>
            </w:r>
            <w:r>
              <w:rPr>
                <w:rFonts w:hint="eastAsia" w:ascii="仿宋_GB2312" w:hAnsi="宋体" w:eastAsia="仿宋_GB2312"/>
                <w:color w:val="FF0000"/>
                <w:kern w:val="0"/>
                <w:sz w:val="24"/>
              </w:rPr>
              <w:t>；否则，可以取消其中标资格，其投标保证金</w:t>
            </w:r>
            <w:r>
              <w:rPr>
                <w:rFonts w:hint="eastAsia" w:ascii="黑体" w:hAnsi="宋体" w:eastAsia="黑体"/>
                <w:color w:val="FF0000"/>
                <w:kern w:val="0"/>
                <w:sz w:val="24"/>
              </w:rPr>
              <w:t>不予退还</w:t>
            </w:r>
            <w:r>
              <w:rPr>
                <w:rFonts w:hint="eastAsia" w:ascii="仿宋_GB2312" w:hAnsi="宋体" w:eastAsia="仿宋_GB2312"/>
                <w:color w:val="FF0000"/>
                <w:kern w:val="0"/>
                <w:sz w:val="24"/>
              </w:rPr>
              <w:t>；</w:t>
            </w:r>
          </w:p>
          <w:p>
            <w:pPr>
              <w:rPr>
                <w:rFonts w:ascii="仿宋_GB2312" w:hAnsi="宋体" w:eastAsia="仿宋_GB2312"/>
                <w:kern w:val="0"/>
                <w:sz w:val="24"/>
              </w:rPr>
            </w:pPr>
            <w:r>
              <w:rPr>
                <w:rFonts w:hint="eastAsia" w:ascii="仿宋_GB2312" w:hAnsi="宋体" w:eastAsia="仿宋_GB2312"/>
                <w:kern w:val="0"/>
                <w:sz w:val="24"/>
              </w:rPr>
              <w:t>3.退还方式及时间：履约担保返还时限由招标人和中标人自行协商，但最迟返还时限不得超过项目竣工验收合格后28天。</w:t>
            </w:r>
          </w:p>
          <w:p>
            <w:pPr>
              <w:rPr>
                <w:rFonts w:ascii="黑体" w:hAnsi="宋体" w:eastAsia="黑体"/>
                <w:kern w:val="0"/>
                <w:sz w:val="24"/>
              </w:rPr>
            </w:pPr>
            <w:r>
              <w:rPr>
                <w:rFonts w:hint="eastAsia" w:ascii="黑体" w:hAnsi="宋体" w:eastAsia="黑体"/>
                <w:kern w:val="0"/>
                <w:sz w:val="24"/>
              </w:rPr>
              <w:t>4. 银行转账履约保证金账户：</w:t>
            </w:r>
          </w:p>
          <w:p>
            <w:pPr>
              <w:rPr>
                <w:rFonts w:ascii="黑体" w:hAnsi="宋体" w:eastAsia="黑体"/>
                <w:kern w:val="0"/>
                <w:sz w:val="24"/>
              </w:rPr>
            </w:pPr>
            <w:r>
              <w:rPr>
                <w:rFonts w:hint="eastAsia" w:ascii="黑体" w:hAnsi="宋体" w:eastAsia="黑体"/>
                <w:kern w:val="0"/>
                <w:sz w:val="24"/>
              </w:rPr>
              <w:t>户名：</w:t>
            </w:r>
            <w:r>
              <w:rPr>
                <w:rFonts w:hint="eastAsia" w:ascii="黑体" w:hAnsi="宋体" w:eastAsia="黑体"/>
                <w:color w:val="FF0000"/>
                <w:kern w:val="0"/>
                <w:sz w:val="24"/>
                <w:u w:val="single"/>
              </w:rPr>
              <w:t xml:space="preserve">                       </w:t>
            </w:r>
          </w:p>
          <w:p>
            <w:pPr>
              <w:rPr>
                <w:rFonts w:ascii="黑体" w:hAnsi="宋体" w:eastAsia="黑体"/>
                <w:kern w:val="0"/>
                <w:sz w:val="24"/>
              </w:rPr>
            </w:pPr>
            <w:r>
              <w:rPr>
                <w:rFonts w:hint="eastAsia" w:ascii="黑体" w:hAnsi="宋体" w:eastAsia="黑体"/>
                <w:kern w:val="0"/>
                <w:sz w:val="24"/>
              </w:rPr>
              <w:t>账号：</w:t>
            </w:r>
            <w:r>
              <w:rPr>
                <w:rFonts w:hint="eastAsia" w:ascii="黑体" w:hAnsi="宋体" w:eastAsia="黑体"/>
                <w:color w:val="FF0000"/>
                <w:kern w:val="0"/>
                <w:sz w:val="24"/>
                <w:u w:val="single"/>
              </w:rPr>
              <w:t xml:space="preserve">                       </w:t>
            </w:r>
          </w:p>
          <w:p>
            <w:pPr>
              <w:rPr>
                <w:rFonts w:ascii="仿宋_GB2312" w:hAnsi="宋体" w:eastAsia="仿宋_GB2312"/>
                <w:kern w:val="0"/>
                <w:sz w:val="32"/>
                <w:szCs w:val="32"/>
              </w:rPr>
            </w:pPr>
            <w:r>
              <w:rPr>
                <w:rFonts w:hint="eastAsia" w:ascii="黑体" w:hAnsi="宋体" w:eastAsia="黑体"/>
                <w:kern w:val="0"/>
                <w:sz w:val="24"/>
              </w:rPr>
              <w:t>开户行：</w:t>
            </w:r>
            <w:r>
              <w:rPr>
                <w:rFonts w:hint="eastAsia" w:ascii="黑体" w:hAnsi="宋体" w:eastAsia="黑体"/>
                <w:color w:val="FF0000"/>
                <w:kern w:val="0"/>
                <w:sz w:val="24"/>
                <w:u w:val="single"/>
              </w:rPr>
              <w:t xml:space="preserve">                      </w:t>
            </w:r>
            <w:permEnd w:id="68"/>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7"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pStyle w:val="89"/>
              <w:widowControl w:val="0"/>
              <w:spacing w:before="0" w:beforeAutospacing="0" w:after="0" w:afterAutospacing="0" w:line="300" w:lineRule="exact"/>
              <w:jc w:val="center"/>
              <w:rPr>
                <w:rFonts w:ascii="仿宋_GB2312" w:eastAsia="仿宋_GB2312"/>
                <w:kern w:val="2"/>
              </w:rPr>
            </w:pPr>
            <w:r>
              <w:rPr>
                <w:rFonts w:ascii="仿宋_GB2312" w:eastAsia="仿宋_GB2312"/>
                <w:kern w:val="2"/>
              </w:rPr>
              <w:t>34</w:t>
            </w:r>
          </w:p>
        </w:tc>
        <w:tc>
          <w:tcPr>
            <w:tcW w:w="162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sz w:val="24"/>
              </w:rPr>
            </w:pPr>
            <w:r>
              <w:rPr>
                <w:rFonts w:hint="eastAsia" w:ascii="仿宋_GB2312" w:hAnsi="宋体" w:eastAsia="仿宋_GB2312"/>
                <w:sz w:val="24"/>
              </w:rPr>
              <w:t>安全文</w:t>
            </w:r>
          </w:p>
          <w:p>
            <w:pPr>
              <w:adjustRightInd w:val="0"/>
              <w:snapToGrid w:val="0"/>
              <w:spacing w:line="300" w:lineRule="exact"/>
              <w:jc w:val="center"/>
              <w:rPr>
                <w:rFonts w:ascii="仿宋_GB2312" w:hAnsi="宋体" w:eastAsia="仿宋_GB2312"/>
                <w:sz w:val="24"/>
              </w:rPr>
            </w:pPr>
            <w:r>
              <w:rPr>
                <w:rFonts w:hint="eastAsia" w:ascii="仿宋_GB2312" w:hAnsi="宋体" w:eastAsia="仿宋_GB2312"/>
                <w:sz w:val="24"/>
              </w:rPr>
              <w:t>明要求</w:t>
            </w:r>
          </w:p>
        </w:tc>
        <w:tc>
          <w:tcPr>
            <w:tcW w:w="797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sz w:val="24"/>
              </w:rPr>
            </w:pPr>
            <w:r>
              <w:rPr>
                <w:rFonts w:hint="eastAsia" w:ascii="仿宋_GB2312" w:hAnsi="宋体" w:eastAsia="仿宋_GB2312"/>
                <w:sz w:val="24"/>
              </w:rPr>
              <w:t>工程开工前，发包方应将按工程量清单计价规定计取的安全生产费用转入建设管理部门指定乙方安全防护、文明施工措施费用专项账户。</w:t>
            </w:r>
          </w:p>
          <w:p>
            <w:pPr>
              <w:widowControl/>
              <w:jc w:val="left"/>
              <w:rPr>
                <w:rFonts w:ascii="黑体" w:hAnsi="宋体" w:eastAsia="黑体"/>
                <w:sz w:val="24"/>
              </w:rPr>
            </w:pPr>
            <w:r>
              <w:rPr>
                <w:rFonts w:ascii="仿宋_GB2312" w:hAnsi="宋体" w:eastAsia="仿宋_GB2312"/>
                <w:sz w:val="24"/>
              </w:rPr>
              <w:t>本项目同时需按照交通部，省交通厅及蚌埠市交通运输局相关文件执行</w:t>
            </w:r>
            <w:r>
              <w:rPr>
                <w:rFonts w:hint="eastAsia" w:ascii="仿宋_GB2312" w:hAnsi="宋体" w:eastAsia="仿宋_GB2312"/>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5"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hAnsi="宋体" w:eastAsia="仿宋_GB2312"/>
                <w:sz w:val="24"/>
              </w:rPr>
            </w:pPr>
            <w:r>
              <w:rPr>
                <w:rFonts w:ascii="仿宋_GB2312" w:hAnsi="宋体" w:eastAsia="仿宋_GB2312"/>
                <w:sz w:val="24"/>
              </w:rPr>
              <w:t>35</w:t>
            </w:r>
          </w:p>
        </w:tc>
        <w:tc>
          <w:tcPr>
            <w:tcW w:w="162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sz w:val="24"/>
              </w:rPr>
            </w:pPr>
            <w:r>
              <w:rPr>
                <w:rFonts w:hint="eastAsia" w:ascii="仿宋_GB2312" w:hAnsi="宋体" w:eastAsia="仿宋_GB2312"/>
                <w:sz w:val="24"/>
              </w:rPr>
              <w:t>总包及</w:t>
            </w:r>
          </w:p>
          <w:p>
            <w:pPr>
              <w:adjustRightInd w:val="0"/>
              <w:snapToGrid w:val="0"/>
              <w:spacing w:line="300" w:lineRule="exact"/>
              <w:jc w:val="center"/>
              <w:rPr>
                <w:rFonts w:ascii="仿宋_GB2312" w:hAnsi="宋体" w:eastAsia="仿宋_GB2312"/>
                <w:sz w:val="24"/>
              </w:rPr>
            </w:pPr>
            <w:r>
              <w:rPr>
                <w:rFonts w:hint="eastAsia" w:ascii="仿宋_GB2312" w:hAnsi="宋体" w:eastAsia="仿宋_GB2312"/>
                <w:sz w:val="24"/>
              </w:rPr>
              <w:t>分包规定</w:t>
            </w:r>
          </w:p>
        </w:tc>
        <w:tc>
          <w:tcPr>
            <w:tcW w:w="797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hAnsi="宋体" w:eastAsia="仿宋_GB2312"/>
                <w:sz w:val="24"/>
              </w:rPr>
            </w:pPr>
            <w:r>
              <w:rPr>
                <w:rFonts w:hint="eastAsia" w:ascii="仿宋_GB2312" w:hAnsi="宋体" w:eastAsia="仿宋_GB2312"/>
                <w:sz w:val="24"/>
              </w:rPr>
              <w:t>投标人不得在中标后将工程转包给其它施工单位。</w:t>
            </w:r>
            <w:r>
              <w:rPr>
                <w:rFonts w:hint="eastAsia" w:ascii="黑体" w:hAnsi="宋体" w:eastAsia="黑体"/>
                <w:kern w:val="0"/>
                <w:sz w:val="24"/>
              </w:rPr>
              <w:t>如需专业分包，分包项目、内容须经招标人同意和认可。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8" w:hRule="atLeast"/>
          <w:jc w:val="center"/>
        </w:trPr>
        <w:tc>
          <w:tcPr>
            <w:tcW w:w="815" w:type="dxa"/>
            <w:tcBorders>
              <w:top w:val="single" w:color="auto" w:sz="4" w:space="0"/>
              <w:left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sz w:val="24"/>
              </w:rPr>
            </w:pPr>
            <w:r>
              <w:rPr>
                <w:rFonts w:ascii="仿宋_GB2312" w:hAnsi="宋体" w:eastAsia="仿宋_GB2312"/>
                <w:sz w:val="24"/>
              </w:rPr>
              <w:t>36</w:t>
            </w:r>
          </w:p>
        </w:tc>
        <w:tc>
          <w:tcPr>
            <w:tcW w:w="1620" w:type="dxa"/>
            <w:tcBorders>
              <w:top w:val="single" w:color="auto" w:sz="4" w:space="0"/>
              <w:left w:val="single" w:color="auto" w:sz="4" w:space="0"/>
              <w:right w:val="single" w:color="auto" w:sz="4" w:space="0"/>
            </w:tcBorders>
            <w:vAlign w:val="center"/>
          </w:tcPr>
          <w:p>
            <w:pPr>
              <w:adjustRightInd w:val="0"/>
              <w:snapToGrid w:val="0"/>
              <w:spacing w:beforeLines="20" w:afterLines="20" w:line="320" w:lineRule="exact"/>
              <w:jc w:val="center"/>
              <w:rPr>
                <w:rFonts w:ascii="仿宋_GB2312" w:hAnsi="宋体" w:eastAsia="仿宋_GB2312"/>
                <w:sz w:val="24"/>
              </w:rPr>
            </w:pPr>
            <w:r>
              <w:rPr>
                <w:rFonts w:hint="eastAsia" w:ascii="仿宋_GB2312" w:hAnsi="宋体" w:eastAsia="仿宋_GB2312"/>
                <w:sz w:val="24"/>
              </w:rPr>
              <w:t>现场条件</w:t>
            </w:r>
          </w:p>
        </w:tc>
        <w:tc>
          <w:tcPr>
            <w:tcW w:w="7971" w:type="dxa"/>
            <w:tcBorders>
              <w:top w:val="single" w:color="auto" w:sz="4" w:space="0"/>
              <w:left w:val="single" w:color="auto" w:sz="4" w:space="0"/>
              <w:right w:val="single" w:color="auto" w:sz="4" w:space="0"/>
            </w:tcBorders>
            <w:vAlign w:val="center"/>
          </w:tcPr>
          <w:p>
            <w:pPr>
              <w:adjustRightInd w:val="0"/>
              <w:snapToGrid w:val="0"/>
              <w:rPr>
                <w:rFonts w:ascii="仿宋_GB2312" w:hAnsi="宋体" w:eastAsia="仿宋_GB2312"/>
                <w:sz w:val="24"/>
              </w:rPr>
            </w:pPr>
            <w:r>
              <w:rPr>
                <w:rFonts w:hint="eastAsia" w:ascii="仿宋_GB2312" w:hAnsi="宋体" w:eastAsia="仿宋_GB2312"/>
                <w:sz w:val="24"/>
              </w:rPr>
              <w:t>具备开工条件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5"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sz w:val="24"/>
              </w:rPr>
            </w:pPr>
            <w:r>
              <w:rPr>
                <w:rFonts w:ascii="仿宋_GB2312" w:hAnsi="宋体" w:eastAsia="仿宋_GB2312"/>
                <w:sz w:val="24"/>
              </w:rPr>
              <w:t>37</w:t>
            </w:r>
          </w:p>
        </w:tc>
        <w:tc>
          <w:tcPr>
            <w:tcW w:w="1620" w:type="dxa"/>
            <w:tcBorders>
              <w:top w:val="single" w:color="auto" w:sz="4" w:space="0"/>
              <w:left w:val="single" w:color="auto" w:sz="4" w:space="0"/>
              <w:bottom w:val="single" w:color="auto" w:sz="4" w:space="0"/>
              <w:right w:val="single" w:color="auto" w:sz="4" w:space="0"/>
            </w:tcBorders>
            <w:vAlign w:val="center"/>
          </w:tcPr>
          <w:p>
            <w:pPr>
              <w:pStyle w:val="28"/>
              <w:adjustRightInd w:val="0"/>
              <w:snapToGrid w:val="0"/>
              <w:spacing w:line="300" w:lineRule="exact"/>
              <w:jc w:val="center"/>
              <w:rPr>
                <w:rFonts w:ascii="仿宋_GB2312" w:hAnsi="宋体" w:eastAsia="仿宋_GB2312"/>
                <w:szCs w:val="24"/>
              </w:rPr>
            </w:pPr>
            <w:r>
              <w:rPr>
                <w:rFonts w:hint="eastAsia" w:ascii="仿宋_GB2312" w:hAnsi="宋体" w:eastAsia="仿宋_GB2312"/>
                <w:szCs w:val="24"/>
              </w:rPr>
              <w:t>递交投标文件注意事项</w:t>
            </w:r>
          </w:p>
        </w:tc>
        <w:tc>
          <w:tcPr>
            <w:tcW w:w="7971" w:type="dxa"/>
            <w:tcBorders>
              <w:top w:val="single" w:color="auto" w:sz="4" w:space="0"/>
              <w:left w:val="single" w:color="auto" w:sz="4" w:space="0"/>
              <w:bottom w:val="single" w:color="auto" w:sz="4" w:space="0"/>
              <w:right w:val="single" w:color="auto" w:sz="4" w:space="0"/>
            </w:tcBorders>
            <w:vAlign w:val="center"/>
          </w:tcPr>
          <w:p>
            <w:pPr>
              <w:pStyle w:val="26"/>
              <w:rPr>
                <w:rFonts w:ascii="仿宋_GB2312" w:hAnsi="宋体" w:eastAsia="仿宋_GB2312"/>
                <w:color w:val="000000" w:themeColor="text1"/>
                <w:sz w:val="24"/>
              </w:rPr>
            </w:pPr>
            <w:r>
              <w:rPr>
                <w:rFonts w:hint="eastAsia" w:ascii="仿宋_GB2312" w:hAnsi="宋体" w:eastAsia="仿宋_GB2312"/>
                <w:color w:val="000000" w:themeColor="text1"/>
                <w:sz w:val="24"/>
                <w:szCs w:val="24"/>
              </w:rPr>
              <w:t>1、解密时间为投标截止时间起15分钟。超过15分钟未解密的投标文件，按废标处理，不进入评标程序。（以交易系统时间为准）。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24"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sz w:val="24"/>
              </w:rPr>
            </w:pPr>
            <w:r>
              <w:rPr>
                <w:rFonts w:ascii="仿宋_GB2312" w:hAnsi="宋体" w:eastAsia="仿宋_GB2312"/>
                <w:sz w:val="24"/>
              </w:rPr>
              <w:t>38</w:t>
            </w:r>
          </w:p>
        </w:tc>
        <w:tc>
          <w:tcPr>
            <w:tcW w:w="1620" w:type="dxa"/>
            <w:tcBorders>
              <w:top w:val="single" w:color="auto" w:sz="4" w:space="0"/>
              <w:left w:val="single" w:color="auto" w:sz="4" w:space="0"/>
              <w:bottom w:val="single" w:color="auto" w:sz="4" w:space="0"/>
              <w:right w:val="single" w:color="auto" w:sz="4" w:space="0"/>
            </w:tcBorders>
            <w:vAlign w:val="center"/>
          </w:tcPr>
          <w:p>
            <w:pPr>
              <w:pStyle w:val="28"/>
              <w:adjustRightInd w:val="0"/>
              <w:snapToGrid w:val="0"/>
              <w:spacing w:line="300" w:lineRule="exact"/>
              <w:jc w:val="center"/>
              <w:rPr>
                <w:rFonts w:ascii="仿宋" w:hAnsi="仿宋" w:eastAsia="仿宋"/>
                <w:szCs w:val="24"/>
              </w:rPr>
            </w:pPr>
            <w:r>
              <w:rPr>
                <w:rFonts w:hint="eastAsia" w:ascii="仿宋" w:hAnsi="仿宋" w:eastAsia="仿宋"/>
                <w:szCs w:val="24"/>
              </w:rPr>
              <w:t>开标注</w:t>
            </w:r>
          </w:p>
          <w:p>
            <w:pPr>
              <w:pStyle w:val="28"/>
              <w:adjustRightInd w:val="0"/>
              <w:snapToGrid w:val="0"/>
              <w:spacing w:line="300" w:lineRule="exact"/>
              <w:jc w:val="center"/>
              <w:rPr>
                <w:rFonts w:ascii="黑体" w:hAnsi="宋体" w:eastAsia="黑体"/>
                <w:szCs w:val="24"/>
              </w:rPr>
            </w:pPr>
            <w:r>
              <w:rPr>
                <w:rFonts w:hint="eastAsia" w:ascii="仿宋" w:hAnsi="仿宋" w:eastAsia="仿宋"/>
                <w:szCs w:val="24"/>
              </w:rPr>
              <w:t>意事项</w:t>
            </w:r>
          </w:p>
        </w:tc>
        <w:tc>
          <w:tcPr>
            <w:tcW w:w="797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rPr>
                <w:rFonts w:ascii="仿宋" w:hAnsi="仿宋" w:eastAsia="仿宋"/>
                <w:sz w:val="24"/>
              </w:rPr>
            </w:pPr>
            <w:permStart w:id="69" w:edGrp="everyone"/>
            <w:r>
              <w:rPr>
                <w:rFonts w:hint="eastAsia" w:ascii="仿宋" w:hAnsi="仿宋" w:eastAsia="仿宋"/>
                <w:sz w:val="24"/>
              </w:rPr>
              <w:t>1、项目经理业绩要求：按招标公告规定执行，业绩证明材料必须体现是拟任项目经理业绩，否则否决投标处理。</w:t>
            </w:r>
          </w:p>
          <w:p>
            <w:pPr>
              <w:adjustRightInd w:val="0"/>
              <w:snapToGrid w:val="0"/>
              <w:spacing w:line="280" w:lineRule="exact"/>
              <w:rPr>
                <w:rFonts w:ascii="仿宋" w:hAnsi="仿宋" w:eastAsia="仿宋"/>
                <w:sz w:val="24"/>
              </w:rPr>
            </w:pPr>
            <w:r>
              <w:rPr>
                <w:rFonts w:hint="eastAsia" w:ascii="仿宋" w:hAnsi="仿宋" w:eastAsia="仿宋"/>
                <w:sz w:val="24"/>
              </w:rPr>
              <w:t>2、所有业绩证明材料复印件（加盖公章）必须放入技术标中，且所提供的原件必须与技术标中的复印件一致。</w:t>
            </w:r>
          </w:p>
          <w:permEnd w:id="69"/>
          <w:p>
            <w:pPr>
              <w:pStyle w:val="26"/>
              <w:spacing w:line="280" w:lineRule="exact"/>
              <w:rPr>
                <w:rFonts w:ascii="仿宋" w:hAnsi="仿宋" w:eastAsia="仿宋" w:cs="Times New Roman"/>
                <w:sz w:val="24"/>
                <w:szCs w:val="24"/>
              </w:rPr>
            </w:pPr>
            <w:r>
              <w:rPr>
                <w:rFonts w:hint="eastAsia" w:ascii="仿宋" w:hAnsi="仿宋" w:eastAsia="仿宋"/>
                <w:sz w:val="24"/>
              </w:rPr>
              <w:t>3、</w:t>
            </w:r>
            <w:r>
              <w:rPr>
                <w:rFonts w:hint="eastAsia" w:ascii="仿宋" w:hAnsi="仿宋" w:eastAsia="仿宋" w:cs="Times New Roman"/>
                <w:sz w:val="24"/>
                <w:szCs w:val="24"/>
              </w:rPr>
              <w:t>对未中标的投标人，评标委员会、招标人、招标代理机构不解释落标原因，投标文件不予退还。</w:t>
            </w:r>
          </w:p>
          <w:p>
            <w:pPr>
              <w:spacing w:line="280" w:lineRule="exact"/>
              <w:rPr>
                <w:rFonts w:ascii="仿宋_GB2312" w:hAnsi="宋体" w:eastAsia="仿宋_GB2312" w:cs="Courier New"/>
                <w:color w:val="000000" w:themeColor="text1"/>
                <w:sz w:val="24"/>
                <w:szCs w:val="21"/>
              </w:rPr>
            </w:pPr>
            <w:r>
              <w:rPr>
                <w:rFonts w:ascii="仿宋_GB2312" w:hAnsi="宋体" w:eastAsia="仿宋_GB2312" w:cs="Courier New"/>
                <w:color w:val="000000" w:themeColor="text1"/>
                <w:sz w:val="24"/>
                <w:szCs w:val="21"/>
              </w:rPr>
              <w:t>4</w:t>
            </w:r>
            <w:r>
              <w:rPr>
                <w:rFonts w:hint="eastAsia" w:ascii="仿宋_GB2312" w:hAnsi="宋体" w:eastAsia="仿宋_GB2312" w:cs="Courier New"/>
                <w:color w:val="000000" w:themeColor="text1"/>
                <w:sz w:val="24"/>
                <w:szCs w:val="21"/>
              </w:rPr>
              <w:t>、项目开标时，投标人在互联网上参与开标，无须委派被授权人（委托代理人）参加现场开标，不需现场递交投标资料，</w:t>
            </w:r>
            <w:r>
              <w:rPr>
                <w:rFonts w:ascii="仿宋_GB2312" w:hAnsi="宋体" w:eastAsia="仿宋_GB2312" w:cs="Courier New"/>
                <w:color w:val="000000" w:themeColor="text1"/>
                <w:sz w:val="24"/>
                <w:szCs w:val="21"/>
              </w:rPr>
              <w:t>招标文件中如有相关内容及其相应责任问题等不再适用。</w:t>
            </w:r>
            <w:r>
              <w:rPr>
                <w:rFonts w:hint="eastAsia" w:ascii="仿宋_GB2312" w:hAnsi="宋体" w:eastAsia="仿宋_GB2312" w:cs="Courier New"/>
                <w:color w:val="000000" w:themeColor="text1"/>
                <w:sz w:val="24"/>
                <w:szCs w:val="21"/>
              </w:rPr>
              <w:t>投标人的投标文件不会因未委派被授权人（委托代理人）参加开标、未提交手持资料被废标；</w:t>
            </w:r>
            <w:r>
              <w:rPr>
                <w:rFonts w:ascii="仿宋_GB2312" w:hAnsi="宋体" w:eastAsia="仿宋_GB2312" w:cs="Courier New"/>
                <w:color w:val="000000" w:themeColor="text1"/>
                <w:sz w:val="24"/>
                <w:szCs w:val="21"/>
              </w:rPr>
              <w:t xml:space="preserve"> </w:t>
            </w:r>
          </w:p>
          <w:p>
            <w:pPr>
              <w:spacing w:line="280" w:lineRule="exact"/>
              <w:rPr>
                <w:rFonts w:ascii="仿宋_GB2312" w:hAnsi="宋体" w:eastAsia="仿宋_GB2312" w:cs="Courier New"/>
                <w:color w:val="000000" w:themeColor="text1"/>
                <w:sz w:val="24"/>
                <w:szCs w:val="21"/>
              </w:rPr>
            </w:pPr>
            <w:r>
              <w:rPr>
                <w:rFonts w:ascii="仿宋_GB2312" w:hAnsi="宋体" w:eastAsia="仿宋_GB2312" w:cs="Courier New"/>
                <w:color w:val="000000" w:themeColor="text1"/>
                <w:sz w:val="24"/>
                <w:szCs w:val="21"/>
              </w:rPr>
              <w:t>5</w:t>
            </w:r>
            <w:r>
              <w:rPr>
                <w:rFonts w:hint="eastAsia" w:ascii="仿宋_GB2312" w:hAnsi="宋体" w:eastAsia="仿宋_GB2312" w:cs="Courier New"/>
                <w:color w:val="000000" w:themeColor="text1"/>
                <w:sz w:val="24"/>
                <w:szCs w:val="21"/>
              </w:rPr>
              <w:t>、投标人须通过蚌埠市公共资源交易中心网站（http://ggzy.bengbu.gov.cn），点击 “投标人登录”，进入蚌埠公共资源交易系统，进行远程解密；投标人可以通过系统中的“模拟解密”功能，自行验证其解密环境，如有技术问题请联系4009980000。解密不成功的，后果自负，投标人不得通过</w:t>
            </w:r>
            <w:r>
              <w:rPr>
                <w:rFonts w:hint="eastAsia" w:ascii="仿宋" w:hAnsi="仿宋" w:eastAsia="仿宋"/>
                <w:sz w:val="24"/>
              </w:rPr>
              <w:t>非加密的投标文件电子介质（</w:t>
            </w:r>
            <w:r>
              <w:rPr>
                <w:rFonts w:ascii="仿宋" w:hAnsi="仿宋" w:eastAsia="仿宋"/>
                <w:sz w:val="24"/>
              </w:rPr>
              <w:t>U</w:t>
            </w:r>
            <w:r>
              <w:rPr>
                <w:rFonts w:hint="eastAsia" w:ascii="仿宋" w:hAnsi="仿宋" w:eastAsia="仿宋"/>
                <w:sz w:val="24"/>
              </w:rPr>
              <w:t>盘）</w:t>
            </w:r>
            <w:r>
              <w:rPr>
                <w:rFonts w:hint="eastAsia" w:ascii="仿宋_GB2312" w:hAnsi="宋体" w:eastAsia="仿宋_GB2312" w:cs="Courier New"/>
                <w:color w:val="000000" w:themeColor="text1"/>
                <w:sz w:val="24"/>
                <w:szCs w:val="21"/>
              </w:rPr>
              <w:t>直接将电子投标文件导入评标系统。</w:t>
            </w:r>
          </w:p>
          <w:p>
            <w:pPr>
              <w:rPr>
                <w:rFonts w:ascii="仿宋_GB2312" w:hAnsi="宋体" w:eastAsia="仿宋_GB2312"/>
                <w:color w:val="000000" w:themeColor="text1"/>
                <w:sz w:val="24"/>
              </w:rPr>
            </w:pPr>
            <w:r>
              <w:rPr>
                <w:rFonts w:ascii="仿宋_GB2312" w:hAnsi="宋体" w:eastAsia="仿宋_GB2312"/>
                <w:color w:val="000000" w:themeColor="text1"/>
                <w:sz w:val="24"/>
              </w:rPr>
              <w:t>6</w:t>
            </w:r>
            <w:r>
              <w:rPr>
                <w:rFonts w:hint="eastAsia" w:ascii="仿宋_GB2312" w:hAnsi="宋体" w:eastAsia="仿宋_GB2312"/>
                <w:color w:val="000000" w:themeColor="text1"/>
                <w:sz w:val="24"/>
              </w:rPr>
              <w:t>、开评标过程中，投标人应始终保持在线状态。投标人可以通过蚌埠公共资源交易系统依法对开标过程提出异议，并加盖电子签章对异议内容进行确认。</w:t>
            </w:r>
          </w:p>
          <w:p>
            <w:pPr>
              <w:rPr>
                <w:rFonts w:ascii="仿宋_GB2312" w:hAnsi="宋体" w:eastAsia="仿宋_GB2312"/>
                <w:color w:val="000000" w:themeColor="text1"/>
                <w:sz w:val="24"/>
              </w:rPr>
            </w:pPr>
            <w:r>
              <w:rPr>
                <w:rFonts w:ascii="仿宋_GB2312" w:hAnsi="宋体" w:eastAsia="仿宋_GB2312"/>
                <w:color w:val="000000" w:themeColor="text1"/>
                <w:sz w:val="24"/>
                <w:szCs w:val="22"/>
              </w:rPr>
              <w:t>7</w:t>
            </w:r>
            <w:r>
              <w:rPr>
                <w:rFonts w:hint="eastAsia" w:ascii="仿宋_GB2312" w:hAnsi="宋体" w:eastAsia="仿宋_GB2312"/>
                <w:color w:val="000000" w:themeColor="text1"/>
                <w:sz w:val="24"/>
                <w:szCs w:val="22"/>
              </w:rPr>
              <w:t>、</w:t>
            </w:r>
            <w:r>
              <w:rPr>
                <w:rFonts w:hint="eastAsia" w:ascii="仿宋_GB2312" w:hAnsi="宋体" w:eastAsia="仿宋_GB2312"/>
                <w:color w:val="000000" w:themeColor="text1"/>
                <w:sz w:val="24"/>
              </w:rPr>
              <w:t>如有询标事宜，评标委员会通过互联网向投标人发起询标。</w:t>
            </w:r>
          </w:p>
          <w:p>
            <w:pPr>
              <w:rPr>
                <w:rFonts w:ascii="仿宋_GB2312" w:hAnsi="宋体" w:eastAsia="仿宋_GB2312"/>
                <w:color w:val="000000" w:themeColor="text1"/>
                <w:sz w:val="24"/>
              </w:rPr>
            </w:pPr>
            <w:r>
              <w:rPr>
                <w:rFonts w:ascii="仿宋_GB2312" w:hAnsi="宋体" w:eastAsia="仿宋_GB2312"/>
                <w:color w:val="000000" w:themeColor="text1"/>
                <w:sz w:val="24"/>
              </w:rPr>
              <w:t>8</w:t>
            </w:r>
            <w:r>
              <w:rPr>
                <w:rFonts w:hint="eastAsia" w:ascii="仿宋_GB2312" w:hAnsi="宋体" w:eastAsia="仿宋_GB2312"/>
                <w:color w:val="000000" w:themeColor="text1"/>
                <w:sz w:val="24"/>
              </w:rPr>
              <w:t>、开评标过程中，投标人应始终保持在线状态，通过蚌埠公共资源交易系统接受评标委员会发起的询标。投标人应填写联系人姓名及联系电话，在规定的时间内（从评标委员会发起询标起不超过20分钟）对询标内容确认并加盖电子签章。</w:t>
            </w:r>
          </w:p>
          <w:p>
            <w:pPr>
              <w:pStyle w:val="26"/>
              <w:rPr>
                <w:rFonts w:ascii="黑体" w:hAnsi="宋体" w:eastAsia="黑体"/>
                <w:sz w:val="24"/>
                <w:szCs w:val="24"/>
              </w:rPr>
            </w:pPr>
            <w:r>
              <w:rPr>
                <w:rFonts w:ascii="仿宋_GB2312" w:hAnsi="宋体" w:eastAsia="仿宋_GB2312"/>
                <w:color w:val="000000" w:themeColor="text1"/>
                <w:sz w:val="24"/>
                <w:szCs w:val="24"/>
              </w:rPr>
              <w:t>9</w:t>
            </w:r>
            <w:r>
              <w:rPr>
                <w:rFonts w:hint="eastAsia" w:ascii="仿宋_GB2312" w:hAnsi="宋体" w:eastAsia="仿宋_GB2312"/>
                <w:color w:val="000000" w:themeColor="text1"/>
                <w:sz w:val="24"/>
                <w:szCs w:val="24"/>
              </w:rPr>
              <w:t>、投标人可通过蚌埠公共资源交易系统，查看评审结果。</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24"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sz w:val="24"/>
              </w:rPr>
            </w:pPr>
            <w:r>
              <w:rPr>
                <w:rFonts w:hint="eastAsia" w:ascii="仿宋_GB2312" w:hAnsi="宋体" w:eastAsia="仿宋_GB2312"/>
                <w:sz w:val="24"/>
              </w:rPr>
              <w:t>3</w:t>
            </w:r>
            <w:r>
              <w:rPr>
                <w:rFonts w:ascii="仿宋_GB2312" w:hAnsi="宋体" w:eastAsia="仿宋_GB2312"/>
                <w:sz w:val="24"/>
              </w:rPr>
              <w:t>9</w:t>
            </w:r>
          </w:p>
        </w:tc>
        <w:tc>
          <w:tcPr>
            <w:tcW w:w="1620" w:type="dxa"/>
            <w:tcBorders>
              <w:top w:val="single" w:color="auto" w:sz="4" w:space="0"/>
              <w:left w:val="single" w:color="auto" w:sz="4" w:space="0"/>
              <w:bottom w:val="single" w:color="auto" w:sz="4" w:space="0"/>
              <w:right w:val="single" w:color="auto" w:sz="4" w:space="0"/>
            </w:tcBorders>
            <w:vAlign w:val="center"/>
          </w:tcPr>
          <w:p>
            <w:pPr>
              <w:pStyle w:val="28"/>
              <w:adjustRightInd w:val="0"/>
              <w:snapToGrid w:val="0"/>
              <w:spacing w:line="300" w:lineRule="exact"/>
              <w:jc w:val="center"/>
              <w:rPr>
                <w:rFonts w:ascii="仿宋" w:hAnsi="仿宋" w:eastAsia="仿宋"/>
                <w:szCs w:val="24"/>
              </w:rPr>
            </w:pPr>
            <w:r>
              <w:rPr>
                <w:rFonts w:hint="eastAsia" w:ascii="仿宋" w:hAnsi="仿宋" w:eastAsia="仿宋"/>
                <w:szCs w:val="24"/>
              </w:rPr>
              <w:t>非正常投标行为</w:t>
            </w:r>
          </w:p>
        </w:tc>
        <w:tc>
          <w:tcPr>
            <w:tcW w:w="797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（一）投标人（供应商）出现以下情形之一的，拒绝接收投标文件。</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1.投标文件逾期提交或未送达指定地点的；</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2.未按照招标文件规定包装、密封投标文件的；</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3.实行资格预审的招标项目，未通过资格预审的申请人提交的投标文件；</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4.电子招投标项目，没有在规定的时间上传投标文件的；或投标文件未按规定加密；</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（二）投标人（供应商）出现以下情形之一，导致项目流标的，不再接受其参加本项目的投标。</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1.投标保证金或其他形式的投标担保、招标文件费用超过招标文件规定时限到账的；</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2.未按照招标文件要求缴纳招标文件费用、投标保证金或其他形式投标担保的；</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3.投标授权人代表（法定代表人、注册建造师或注册监理工程师等招标文件规定的投标授权人代表）未按招标文件约定时限到达开标现场的；实行电子开标的，投标人没有在线参加的；</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4.开标现场不能按照招标文件规定提交相关资质、资格证明材料的；</w:t>
            </w:r>
            <w:r>
              <w:rPr>
                <w:rFonts w:ascii="仿宋" w:hAnsi="仿宋" w:eastAsia="仿宋" w:cs="Calibri"/>
                <w:color w:val="000000" w:themeColor="text1"/>
                <w:sz w:val="24"/>
                <w:szCs w:val="21"/>
              </w:rPr>
              <w:t xml:space="preserve"> </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5.未按照招标文件规定包装、密封投标文件的；</w:t>
            </w:r>
            <w:r>
              <w:rPr>
                <w:rFonts w:ascii="仿宋" w:hAnsi="仿宋" w:eastAsia="仿宋" w:cs="Calibri"/>
                <w:color w:val="000000" w:themeColor="text1"/>
                <w:sz w:val="24"/>
                <w:szCs w:val="21"/>
              </w:rPr>
              <w:t xml:space="preserve"> </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6.投标人缴纳投标保证金或其他形式的投标担保、招标文件费用后，投标文件逾期提交或未送达指定地点的；电子招投标项目，没有在规定的时间上传投标文件的，或投标文件未按规定加密；</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7.缴纳投标保证金或其他形式的投标担保后，未书面告知招标人不参加投标的；</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8.因未携带CA锁或CA锁无法解密导致投标文件未成功解密且u盘导入不成功造成评委无法评审的；</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9.投标报价为异常低价，被评标委员会否决投标的；</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10.在投标有效期内撤销投标文件，或在中标通知书发出前无正当理由放弃中标资格的；</w:t>
            </w:r>
          </w:p>
          <w:p>
            <w:pPr>
              <w:rPr>
                <w:rFonts w:ascii="仿宋" w:hAnsi="仿宋" w:eastAsia="仿宋" w:cs="Calibri"/>
                <w:color w:val="000000" w:themeColor="text1"/>
                <w:sz w:val="24"/>
                <w:szCs w:val="21"/>
              </w:rPr>
            </w:pPr>
            <w:r>
              <w:rPr>
                <w:rFonts w:ascii="仿宋" w:hAnsi="仿宋" w:eastAsia="仿宋" w:cs="Calibri"/>
                <w:color w:val="000000" w:themeColor="text1"/>
                <w:sz w:val="24"/>
                <w:szCs w:val="21"/>
              </w:rPr>
              <w:t>11.通过同一单位的IP地址或同一IP地址下载招标文件或上传投标文件的；</w:t>
            </w:r>
          </w:p>
          <w:p>
            <w:pPr>
              <w:rPr>
                <w:rFonts w:ascii="仿宋" w:hAnsi="仿宋" w:eastAsia="仿宋" w:cs="Calibri"/>
                <w:color w:val="000000" w:themeColor="text1"/>
                <w:sz w:val="24"/>
                <w:szCs w:val="21"/>
              </w:rPr>
            </w:pPr>
            <w:r>
              <w:rPr>
                <w:rFonts w:ascii="仿宋" w:hAnsi="仿宋" w:eastAsia="仿宋" w:cs="Calibri"/>
                <w:color w:val="000000" w:themeColor="text1"/>
                <w:sz w:val="24"/>
                <w:szCs w:val="21"/>
              </w:rPr>
              <w:t>12.不同投标人（供应商）制作或上传投标文件电脑文件制作机器码一致的；</w:t>
            </w:r>
          </w:p>
          <w:p>
            <w:pPr>
              <w:rPr>
                <w:rFonts w:ascii="仿宋" w:hAnsi="仿宋" w:eastAsia="仿宋" w:cs="Calibri"/>
                <w:color w:val="000000" w:themeColor="text1"/>
                <w:sz w:val="24"/>
                <w:szCs w:val="21"/>
              </w:rPr>
            </w:pPr>
            <w:r>
              <w:rPr>
                <w:rFonts w:ascii="仿宋" w:hAnsi="仿宋" w:eastAsia="仿宋" w:cs="Calibri"/>
                <w:color w:val="000000" w:themeColor="text1"/>
                <w:sz w:val="24"/>
                <w:szCs w:val="21"/>
              </w:rPr>
              <w:t>13.不同投标人（供应商）制作或上传投标文件电脑文件创建标识码一致的</w:t>
            </w:r>
            <w:r>
              <w:rPr>
                <w:rFonts w:hint="eastAsia" w:ascii="仿宋" w:hAnsi="仿宋" w:eastAsia="仿宋" w:cs="Calibri"/>
                <w:color w:val="000000" w:themeColor="text1"/>
                <w:sz w:val="24"/>
                <w:szCs w:val="21"/>
              </w:rPr>
              <w:t>；</w:t>
            </w:r>
          </w:p>
          <w:p>
            <w:pPr>
              <w:rPr>
                <w:rFonts w:ascii="仿宋" w:hAnsi="仿宋" w:eastAsia="仿宋" w:cs="Calibri"/>
                <w:color w:val="000000" w:themeColor="text1"/>
                <w:sz w:val="24"/>
                <w:szCs w:val="21"/>
              </w:rPr>
            </w:pPr>
            <w:r>
              <w:rPr>
                <w:rFonts w:ascii="仿宋" w:hAnsi="仿宋" w:eastAsia="仿宋" w:cs="Calibri"/>
                <w:color w:val="000000" w:themeColor="text1"/>
                <w:sz w:val="24"/>
                <w:szCs w:val="21"/>
              </w:rPr>
              <w:t>14.存在其他非正常投标行为，被监管部门认定的。</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三）投标人（供应商）在十二个月内累计发生三次缴纳投标保证金后，未提交投标文件或提交投标文件无效的行为，招标人有权在招标文件中约定：自第三次投标截止日起，禁止其一年内参加所组织的公共资源交易活动。</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（四）电子招投标项目，不同投标人（供应商）有下列情形之一的，视为投标人（供应商）相互串通投标，其投标文件做无效标处理，不进入下一轮评审，并移交监管部门进行处理。</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1.通过同一单位的IP地址或同一IP地址下载招标文件或上传投标文件的；</w:t>
            </w:r>
          </w:p>
          <w:p>
            <w:pPr>
              <w:rPr>
                <w:rFonts w:ascii="仿宋" w:hAnsi="仿宋" w:eastAsia="仿宋" w:cs="Calibri"/>
                <w:color w:val="000000" w:themeColor="text1"/>
                <w:sz w:val="24"/>
                <w:szCs w:val="21"/>
              </w:rPr>
            </w:pPr>
            <w:r>
              <w:rPr>
                <w:rFonts w:hint="eastAsia" w:ascii="仿宋" w:hAnsi="仿宋" w:eastAsia="仿宋" w:cs="Calibri"/>
                <w:color w:val="000000" w:themeColor="text1"/>
                <w:sz w:val="24"/>
                <w:szCs w:val="21"/>
              </w:rPr>
              <w:t>2.不同投标人（供应商）制作或上传投标文件电脑文件制作机器码一致的；</w:t>
            </w:r>
          </w:p>
          <w:p>
            <w:pPr>
              <w:adjustRightInd w:val="0"/>
              <w:snapToGrid w:val="0"/>
              <w:spacing w:line="280" w:lineRule="exact"/>
              <w:rPr>
                <w:rFonts w:ascii="仿宋" w:hAnsi="仿宋" w:eastAsia="仿宋"/>
                <w:sz w:val="24"/>
              </w:rPr>
            </w:pPr>
            <w:r>
              <w:rPr>
                <w:rFonts w:hint="eastAsia" w:ascii="仿宋" w:hAnsi="仿宋" w:eastAsia="仿宋" w:cs="Calibri"/>
                <w:color w:val="000000" w:themeColor="text1"/>
                <w:sz w:val="24"/>
                <w:szCs w:val="21"/>
              </w:rPr>
              <w:t>3.不同投标人（供应商）制作或上传投标文件电脑文件创建标识码一致的。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0"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sz w:val="24"/>
              </w:rPr>
            </w:pPr>
            <w:r>
              <w:rPr>
                <w:rFonts w:ascii="仿宋_GB2312" w:hAnsi="宋体" w:eastAsia="仿宋_GB2312"/>
                <w:sz w:val="24"/>
              </w:rPr>
              <w:t>40</w:t>
            </w:r>
          </w:p>
        </w:tc>
        <w:tc>
          <w:tcPr>
            <w:tcW w:w="1620" w:type="dxa"/>
            <w:tcBorders>
              <w:top w:val="single" w:color="auto" w:sz="4" w:space="0"/>
              <w:left w:val="single" w:color="auto" w:sz="4" w:space="0"/>
              <w:bottom w:val="single" w:color="auto" w:sz="4" w:space="0"/>
              <w:right w:val="single" w:color="auto" w:sz="4" w:space="0"/>
            </w:tcBorders>
            <w:vAlign w:val="center"/>
          </w:tcPr>
          <w:p>
            <w:pPr>
              <w:pStyle w:val="28"/>
              <w:adjustRightInd w:val="0"/>
              <w:snapToGrid w:val="0"/>
              <w:spacing w:line="300" w:lineRule="exact"/>
              <w:jc w:val="center"/>
              <w:rPr>
                <w:rFonts w:ascii="仿宋_GB2312" w:hAnsi="宋体" w:eastAsia="仿宋_GB2312"/>
                <w:szCs w:val="24"/>
              </w:rPr>
            </w:pPr>
            <w:r>
              <w:rPr>
                <w:rFonts w:hint="eastAsia" w:ascii="仿宋_GB2312" w:hAnsi="宋体" w:eastAsia="仿宋_GB2312"/>
                <w:szCs w:val="24"/>
              </w:rPr>
              <w:t>其他注</w:t>
            </w:r>
          </w:p>
          <w:p>
            <w:pPr>
              <w:pStyle w:val="28"/>
              <w:adjustRightInd w:val="0"/>
              <w:snapToGrid w:val="0"/>
              <w:spacing w:line="300" w:lineRule="exact"/>
              <w:jc w:val="center"/>
              <w:rPr>
                <w:rFonts w:ascii="仿宋_GB2312" w:hAnsi="宋体" w:eastAsia="仿宋_GB2312"/>
                <w:szCs w:val="24"/>
              </w:rPr>
            </w:pPr>
            <w:r>
              <w:rPr>
                <w:rFonts w:hint="eastAsia" w:ascii="仿宋_GB2312" w:hAnsi="宋体" w:eastAsia="仿宋_GB2312"/>
                <w:szCs w:val="24"/>
              </w:rPr>
              <w:t>意事项</w:t>
            </w:r>
          </w:p>
        </w:tc>
        <w:tc>
          <w:tcPr>
            <w:tcW w:w="7971"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仿宋_GB2312" w:hAnsi="宋体" w:eastAsia="仿宋_GB2312"/>
                <w:sz w:val="24"/>
              </w:rPr>
            </w:pPr>
            <w:permStart w:id="70" w:edGrp="everyone"/>
            <w:r>
              <w:rPr>
                <w:rFonts w:hint="eastAsia" w:ascii="仿宋_GB2312" w:hAnsi="宋体" w:eastAsia="仿宋_GB2312"/>
                <w:sz w:val="24"/>
              </w:rPr>
              <w:t>1、</w:t>
            </w:r>
            <w:r>
              <w:rPr>
                <w:rFonts w:ascii="仿宋_GB2312" w:hAnsi="宋体" w:eastAsia="仿宋_GB2312"/>
                <w:sz w:val="24"/>
              </w:rPr>
              <w:t>中标人须按国家、省、市、县（区）有关部门管理规定缴存农民工工资保证金。</w:t>
            </w:r>
          </w:p>
          <w:p>
            <w:pPr>
              <w:adjustRightInd w:val="0"/>
              <w:snapToGrid w:val="0"/>
              <w:spacing w:line="280" w:lineRule="exact"/>
              <w:rPr>
                <w:rFonts w:ascii="仿宋_GB2312" w:hAnsi="宋体" w:eastAsia="仿宋_GB2312"/>
                <w:sz w:val="24"/>
              </w:rPr>
            </w:pPr>
            <w:r>
              <w:rPr>
                <w:rFonts w:ascii="仿宋_GB2312" w:hAnsi="宋体" w:eastAsia="仿宋_GB2312"/>
                <w:sz w:val="24"/>
              </w:rPr>
              <w:t>2</w:t>
            </w:r>
            <w:r>
              <w:rPr>
                <w:rFonts w:hint="eastAsia" w:ascii="仿宋_GB2312" w:hAnsi="宋体" w:eastAsia="仿宋_GB2312"/>
                <w:sz w:val="24"/>
              </w:rPr>
              <w:t>、投标单位中标后必须到工程项目所在地社会保险基金征缴机构办理工伤保险参保登记手续。</w:t>
            </w:r>
          </w:p>
          <w:p>
            <w:pPr>
              <w:adjustRightInd w:val="0"/>
              <w:snapToGrid w:val="0"/>
              <w:spacing w:line="280" w:lineRule="exact"/>
              <w:rPr>
                <w:rFonts w:ascii="黑体" w:hAnsi="宋体" w:eastAsia="黑体"/>
                <w:sz w:val="24"/>
              </w:rPr>
            </w:pPr>
            <w:r>
              <w:rPr>
                <w:rFonts w:ascii="黑体" w:hAnsi="宋体" w:eastAsia="黑体"/>
                <w:sz w:val="24"/>
              </w:rPr>
              <w:t>3</w:t>
            </w:r>
            <w:r>
              <w:rPr>
                <w:rFonts w:hint="eastAsia" w:ascii="黑体" w:hAnsi="宋体" w:eastAsia="黑体"/>
                <w:sz w:val="24"/>
              </w:rPr>
              <w:t>、</w:t>
            </w:r>
            <w:r>
              <w:rPr>
                <w:rFonts w:hint="eastAsia" w:ascii="黑体" w:hAnsi="宋体" w:eastAsia="黑体"/>
                <w:color w:val="000000"/>
                <w:sz w:val="24"/>
              </w:rPr>
              <w:t>投标文件中提供的有关材料必须完整准确,国家标准合同示范文本中的通用条款部分可以不制作在投标文件中。</w:t>
            </w:r>
          </w:p>
          <w:p>
            <w:pPr>
              <w:adjustRightInd w:val="0"/>
              <w:snapToGrid w:val="0"/>
              <w:spacing w:line="280" w:lineRule="exact"/>
              <w:rPr>
                <w:rFonts w:hAnsi="宋体"/>
                <w:b/>
                <w:color w:val="FF0000"/>
                <w:sz w:val="24"/>
              </w:rPr>
            </w:pPr>
            <w:r>
              <w:rPr>
                <w:rFonts w:ascii="仿宋_GB2312" w:hAnsi="宋体" w:eastAsia="仿宋_GB2312"/>
                <w:sz w:val="24"/>
              </w:rPr>
              <w:t>4</w:t>
            </w:r>
            <w:r>
              <w:rPr>
                <w:rFonts w:hint="eastAsia" w:ascii="仿宋_GB2312" w:hAnsi="宋体" w:eastAsia="仿宋_GB2312"/>
                <w:sz w:val="24"/>
              </w:rPr>
              <w:t>、</w:t>
            </w:r>
            <w:r>
              <w:rPr>
                <w:rFonts w:hint="eastAsia" w:hAnsi="宋体"/>
                <w:b/>
                <w:color w:val="FF0000"/>
                <w:sz w:val="24"/>
              </w:rPr>
              <w:t>本工程采用全费用综合单价，综合单价是指完成本工程项目的全费用综合单价，其组成包括人工费、材料费、机械费、管理费、规费、税金、措施费、利润、施工工期内的风险费用等为完成本工程项目所需发生的一切费用。</w:t>
            </w:r>
          </w:p>
          <w:p>
            <w:r>
              <w:rPr>
                <w:rFonts w:ascii="黑体" w:hAnsi="宋体" w:eastAsia="黑体"/>
                <w:kern w:val="0"/>
                <w:sz w:val="24"/>
              </w:rPr>
              <w:t>5</w:t>
            </w:r>
            <w:r>
              <w:rPr>
                <w:rFonts w:hint="eastAsia" w:ascii="黑体" w:hAnsi="宋体" w:eastAsia="黑体"/>
                <w:kern w:val="0"/>
                <w:sz w:val="24"/>
              </w:rPr>
              <w:t>、项目经理和项目机构主要管理人员（包括项目经理、项目总工、</w:t>
            </w:r>
            <w:r>
              <w:rPr>
                <w:rFonts w:hint="eastAsia" w:ascii="黑体" w:hAnsi="宋体" w:eastAsia="黑体"/>
                <w:kern w:val="0"/>
                <w:sz w:val="24"/>
                <w:u w:val="single"/>
              </w:rPr>
              <w:t xml:space="preserve">         </w:t>
            </w:r>
            <w:r>
              <w:rPr>
                <w:rFonts w:hint="eastAsia" w:ascii="黑体" w:hAnsi="宋体" w:eastAsia="黑体"/>
                <w:kern w:val="0"/>
                <w:sz w:val="24"/>
              </w:rPr>
              <w:t>）出勤率不小于</w:t>
            </w:r>
            <w:r>
              <w:rPr>
                <w:rFonts w:hint="eastAsia" w:ascii="黑体" w:hAnsi="宋体" w:eastAsia="黑体"/>
                <w:kern w:val="0"/>
                <w:sz w:val="24"/>
                <w:u w:val="single"/>
              </w:rPr>
              <w:t xml:space="preserve"> 22 </w:t>
            </w:r>
            <w:r>
              <w:rPr>
                <w:rFonts w:hint="eastAsia" w:ascii="黑体" w:hAnsi="宋体" w:eastAsia="黑体"/>
                <w:kern w:val="0"/>
                <w:sz w:val="24"/>
              </w:rPr>
              <w:t>个工作日/月，因特殊情况需要外出必须向招标人履行书面请假手续。未经招标人批准，项目经理、项目总工擅自离开工地现场，课以承包人</w:t>
            </w:r>
            <w:r>
              <w:rPr>
                <w:rFonts w:hint="eastAsia" w:ascii="黑体" w:hAnsi="宋体" w:eastAsia="黑体"/>
                <w:kern w:val="0"/>
                <w:sz w:val="24"/>
                <w:u w:val="single"/>
              </w:rPr>
              <w:t xml:space="preserve">    </w:t>
            </w:r>
            <w:r>
              <w:rPr>
                <w:rFonts w:hint="eastAsia" w:ascii="黑体" w:hAnsi="宋体" w:eastAsia="黑体"/>
                <w:kern w:val="0"/>
                <w:sz w:val="24"/>
              </w:rPr>
              <w:t>元/人·天的违约金，其他项目管理人员擅自离开工地现场，课以承包人</w:t>
            </w:r>
            <w:r>
              <w:rPr>
                <w:rFonts w:hint="eastAsia" w:ascii="黑体" w:hAnsi="宋体" w:eastAsia="黑体"/>
                <w:kern w:val="0"/>
                <w:sz w:val="24"/>
                <w:u w:val="single"/>
              </w:rPr>
              <w:t xml:space="preserve">    </w:t>
            </w:r>
            <w:r>
              <w:rPr>
                <w:rFonts w:hint="eastAsia" w:ascii="黑体" w:hAnsi="宋体" w:eastAsia="黑体"/>
                <w:kern w:val="0"/>
                <w:sz w:val="24"/>
              </w:rPr>
              <w:t>元/人·天的违约金；项目经理、项目总工未按招标人要求及时进场，课以承包人</w:t>
            </w:r>
            <w:r>
              <w:rPr>
                <w:rFonts w:hint="eastAsia" w:ascii="黑体" w:hAnsi="宋体" w:eastAsia="黑体"/>
                <w:kern w:val="0"/>
                <w:sz w:val="24"/>
                <w:u w:val="single"/>
              </w:rPr>
              <w:t xml:space="preserve">    </w:t>
            </w:r>
            <w:r>
              <w:rPr>
                <w:rFonts w:hint="eastAsia" w:ascii="黑体" w:hAnsi="宋体" w:eastAsia="黑体"/>
                <w:kern w:val="0"/>
                <w:sz w:val="24"/>
              </w:rPr>
              <w:t>元/人·天的违约金。</w:t>
            </w:r>
          </w:p>
          <w:p>
            <w:pPr>
              <w:adjustRightInd w:val="0"/>
              <w:snapToGrid w:val="0"/>
              <w:rPr>
                <w:rFonts w:ascii="仿宋_GB2312" w:hAnsi="宋体" w:eastAsia="仿宋_GB2312"/>
                <w:sz w:val="24"/>
              </w:rPr>
            </w:pPr>
            <w:r>
              <w:rPr>
                <w:rFonts w:ascii="仿宋_GB2312" w:hAnsi="宋体" w:eastAsia="仿宋_GB2312"/>
                <w:sz w:val="24"/>
              </w:rPr>
              <w:t>6</w:t>
            </w:r>
            <w:r>
              <w:rPr>
                <w:rFonts w:hint="eastAsia" w:ascii="仿宋_GB2312" w:hAnsi="宋体" w:eastAsia="仿宋_GB2312"/>
                <w:sz w:val="24"/>
              </w:rPr>
              <w:t>、方案设计招标项目，招标人应自收到评标结果后30日内定标。招标人不能按时定标的，应当通过蚌埠市公共资源交易中心网站公示延期定标原因并明确最终定标时间。</w:t>
            </w:r>
          </w:p>
          <w:p>
            <w:pPr>
              <w:adjustRightInd w:val="0"/>
              <w:snapToGrid w:val="0"/>
              <w:rPr>
                <w:rFonts w:ascii="仿宋_GB2312" w:hAnsi="宋体" w:eastAsia="仿宋_GB2312"/>
                <w:sz w:val="24"/>
                <w:szCs w:val="22"/>
              </w:rPr>
            </w:pPr>
            <w:r>
              <w:rPr>
                <w:rFonts w:hint="eastAsia" w:ascii="仿宋_GB2312" w:hAnsi="宋体" w:eastAsia="仿宋_GB2312"/>
                <w:sz w:val="24"/>
                <w:szCs w:val="22"/>
                <w:lang w:val="en-US" w:eastAsia="zh-CN"/>
              </w:rPr>
              <w:t>7</w:t>
            </w:r>
            <w:r>
              <w:rPr>
                <w:rFonts w:hint="eastAsia" w:ascii="仿宋_GB2312" w:hAnsi="宋体" w:eastAsia="仿宋_GB2312"/>
                <w:sz w:val="24"/>
                <w:szCs w:val="22"/>
              </w:rPr>
              <w:t>、合同履行过程中，若继续</w:t>
            </w:r>
            <w:bookmarkStart w:id="638" w:name="_GoBack"/>
            <w:bookmarkEnd w:id="638"/>
            <w:r>
              <w:rPr>
                <w:rFonts w:hint="eastAsia" w:ascii="仿宋_GB2312" w:hAnsi="宋体" w:eastAsia="仿宋_GB2312"/>
                <w:sz w:val="24"/>
                <w:szCs w:val="22"/>
              </w:rPr>
              <w:t>履行将损害国家利益和社会公共利益的，双方当事人应当变更、中止或者终止合同。有过错的一方应当承担赔偿责任，双方都有过错的，各自承担相应的责任。</w:t>
            </w:r>
            <w:permEnd w:id="7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0"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widowControl/>
              <w:spacing w:line="270" w:lineRule="atLeast"/>
              <w:jc w:val="center"/>
              <w:textAlignment w:val="top"/>
              <w:rPr>
                <w:rFonts w:ascii="仿宋_GB2312" w:hAnsi="Arial" w:eastAsia="仿宋_GB2312" w:cs="Arial"/>
                <w:kern w:val="0"/>
                <w:sz w:val="24"/>
              </w:rPr>
            </w:pPr>
            <w:permStart w:id="71" w:edGrp="everyone"/>
            <w:r>
              <w:rPr>
                <w:rFonts w:ascii="仿宋_GB2312" w:hAnsi="Arial" w:eastAsia="仿宋_GB2312" w:cs="Arial"/>
                <w:kern w:val="0"/>
                <w:sz w:val="24"/>
              </w:rPr>
              <w:t>41</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spacing w:line="270" w:lineRule="atLeast"/>
              <w:jc w:val="center"/>
              <w:textAlignment w:val="top"/>
              <w:rPr>
                <w:rFonts w:ascii="仿宋_GB2312" w:hAnsi="Arial" w:eastAsia="仿宋_GB2312" w:cs="Arial"/>
                <w:kern w:val="0"/>
                <w:sz w:val="24"/>
              </w:rPr>
            </w:pPr>
            <w:r>
              <w:rPr>
                <w:rFonts w:hint="eastAsia" w:ascii="仿宋_GB2312" w:hAnsi="Arial" w:eastAsia="仿宋_GB2312" w:cs="Arial"/>
                <w:kern w:val="0"/>
                <w:sz w:val="24"/>
              </w:rPr>
              <w:t>暂估价中的材料设备及专业工程招标</w:t>
            </w:r>
          </w:p>
        </w:tc>
        <w:tc>
          <w:tcPr>
            <w:tcW w:w="7971"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sz w:val="24"/>
              </w:rPr>
            </w:pPr>
            <w:r>
              <w:rPr>
                <w:rFonts w:hint="eastAsia" w:ascii="仿宋_GB2312" w:hAnsi="宋体" w:eastAsia="仿宋_GB2312"/>
                <w:sz w:val="24"/>
              </w:rPr>
              <w:t>实行暂估价的部分</w:t>
            </w:r>
            <w:r>
              <w:rPr>
                <w:rFonts w:hint="eastAsia" w:ascii="仿宋_GB2312" w:hAnsi="Arial" w:eastAsia="仿宋_GB2312" w:cs="Arial"/>
                <w:kern w:val="0"/>
                <w:sz w:val="24"/>
              </w:rPr>
              <w:t>属于依法必须招标的，</w:t>
            </w:r>
            <w:r>
              <w:rPr>
                <w:rFonts w:hint="eastAsia" w:ascii="仿宋_GB2312" w:hAnsi="宋体" w:eastAsia="仿宋_GB2312"/>
                <w:sz w:val="24"/>
              </w:rPr>
              <w:t>应按相关规定进行二次招标，并按以下规定处理：</w:t>
            </w:r>
          </w:p>
          <w:p>
            <w:pPr>
              <w:rPr>
                <w:rFonts w:ascii="仿宋_GB2312" w:hAnsi="宋体" w:eastAsia="仿宋_GB2312"/>
                <w:sz w:val="24"/>
                <w:u w:val="single"/>
              </w:rPr>
            </w:pPr>
            <w:r>
              <w:rPr>
                <w:rFonts w:hint="eastAsia" w:ascii="仿宋_GB2312" w:hAnsi="宋体" w:eastAsia="仿宋_GB2312"/>
                <w:sz w:val="24"/>
              </w:rPr>
              <w:t>1、暂估价中的材料设备招标由承包人按发包人的要求负责实施；发包人关于材料设备的要求：</w:t>
            </w:r>
            <w:r>
              <w:rPr>
                <w:rFonts w:hint="eastAsia" w:ascii="仿宋_GB2312" w:hAnsi="宋体" w:eastAsia="仿宋_GB2312"/>
                <w:color w:val="FF0000"/>
                <w:sz w:val="24"/>
                <w:u w:val="single"/>
              </w:rPr>
              <w:t xml:space="preserve"> （发包人可以推荐三个及以上品牌）  </w:t>
            </w:r>
          </w:p>
          <w:p>
            <w:pPr>
              <w:rPr>
                <w:rFonts w:ascii="仿宋_GB2312" w:hAnsi="宋体" w:eastAsia="仿宋_GB2312"/>
                <w:sz w:val="24"/>
              </w:rPr>
            </w:pPr>
            <w:r>
              <w:rPr>
                <w:rFonts w:hint="eastAsia" w:ascii="仿宋_GB2312" w:hAnsi="宋体" w:eastAsia="仿宋_GB2312"/>
                <w:sz w:val="24"/>
              </w:rPr>
              <w:t>2、暂估价中的专业工程招标，按以下规定办理：</w:t>
            </w:r>
          </w:p>
          <w:p>
            <w:pPr>
              <w:widowControl/>
              <w:textAlignment w:val="top"/>
              <w:rPr>
                <w:rFonts w:ascii="仿宋_GB2312" w:hAnsi="Arial" w:eastAsia="仿宋_GB2312" w:cs="Arial"/>
                <w:kern w:val="0"/>
                <w:sz w:val="24"/>
              </w:rPr>
            </w:pPr>
            <w:r>
              <w:rPr>
                <w:rFonts w:hint="eastAsia" w:ascii="仿宋_GB2312" w:hAnsi="宋体" w:eastAsia="仿宋_GB2312" w:cs="宋体"/>
                <w:kern w:val="0"/>
                <w:sz w:val="24"/>
              </w:rPr>
              <w:t>①</w:t>
            </w:r>
            <w:r>
              <w:rPr>
                <w:rFonts w:hint="eastAsia" w:ascii="仿宋_GB2312" w:hAnsi="Arial" w:eastAsia="仿宋_GB2312" w:cs="Arial"/>
                <w:kern w:val="0"/>
                <w:sz w:val="24"/>
              </w:rPr>
              <w:t>承包人不参加投标的专业工程发包招标，由承包人作为招标人，但拟定的招标文件应报发包人审核确认；评标工作、评标结果应报送发包人备案。与组织招标工作有关的费用应当被认为已经包括在承包人的签约合同价（投标总报价）中。</w:t>
            </w:r>
          </w:p>
          <w:p>
            <w:pPr>
              <w:rPr>
                <w:rFonts w:ascii="仿宋_GB2312" w:hAnsi="宋体" w:eastAsia="仿宋_GB2312"/>
                <w:sz w:val="24"/>
              </w:rPr>
            </w:pPr>
            <w:r>
              <w:rPr>
                <w:rFonts w:hint="eastAsia" w:ascii="仿宋_GB2312" w:hAnsi="宋体" w:eastAsia="仿宋_GB2312" w:cs="宋体"/>
                <w:kern w:val="0"/>
                <w:sz w:val="24"/>
              </w:rPr>
              <w:t>②</w:t>
            </w:r>
            <w:r>
              <w:rPr>
                <w:rFonts w:hint="eastAsia" w:ascii="仿宋_GB2312" w:hAnsi="Arial" w:eastAsia="仿宋_GB2312" w:cs="Arial"/>
                <w:kern w:val="0"/>
                <w:sz w:val="24"/>
              </w:rPr>
              <w:t>承包人参加投标的专业工程发包招标，应由发包人作为招标人，与组织招标工作有关的费用由发包人承担。同等条件下，应优先选择承包人中标。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0"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center"/>
              <w:rPr>
                <w:rFonts w:ascii="仿宋_GB2312" w:hAnsi="宋体" w:eastAsia="仿宋_GB2312"/>
                <w:sz w:val="24"/>
              </w:rPr>
            </w:pPr>
            <w:r>
              <w:rPr>
                <w:rFonts w:ascii="仿宋_GB2312" w:hAnsi="宋体" w:eastAsia="仿宋_GB2312"/>
                <w:sz w:val="24"/>
              </w:rPr>
              <w:t>4</w:t>
            </w:r>
            <w:r>
              <w:rPr>
                <w:rFonts w:hint="eastAsia" w:ascii="仿宋_GB2312" w:hAnsi="宋体" w:eastAsia="仿宋_GB2312"/>
                <w:sz w:val="24"/>
              </w:rPr>
              <w:t>2</w:t>
            </w:r>
          </w:p>
        </w:tc>
        <w:tc>
          <w:tcPr>
            <w:tcW w:w="1620" w:type="dxa"/>
            <w:tcBorders>
              <w:top w:val="single" w:color="auto" w:sz="4" w:space="0"/>
              <w:left w:val="single" w:color="auto" w:sz="4" w:space="0"/>
              <w:bottom w:val="single" w:color="auto" w:sz="4" w:space="0"/>
              <w:right w:val="single" w:color="auto" w:sz="4" w:space="0"/>
            </w:tcBorders>
            <w:vAlign w:val="center"/>
          </w:tcPr>
          <w:p>
            <w:pPr>
              <w:pStyle w:val="28"/>
              <w:adjustRightInd w:val="0"/>
              <w:snapToGrid w:val="0"/>
              <w:spacing w:line="300" w:lineRule="exact"/>
              <w:jc w:val="center"/>
              <w:rPr>
                <w:rFonts w:ascii="仿宋_GB2312" w:hAnsi="宋体" w:eastAsia="仿宋_GB2312"/>
                <w:szCs w:val="24"/>
              </w:rPr>
            </w:pPr>
            <w:r>
              <w:rPr>
                <w:rFonts w:hint="eastAsia" w:ascii="仿宋_GB2312" w:hAnsi="宋体" w:eastAsia="仿宋_GB2312"/>
                <w:szCs w:val="24"/>
              </w:rPr>
              <w:t>备注</w:t>
            </w:r>
          </w:p>
        </w:tc>
        <w:tc>
          <w:tcPr>
            <w:tcW w:w="7971"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仿宋_GB2312" w:hAnsi="宋体" w:eastAsia="仿宋_GB2312"/>
                <w:b/>
                <w:sz w:val="24"/>
              </w:rPr>
            </w:pPr>
            <w:r>
              <w:rPr>
                <w:rFonts w:hint="eastAsia" w:ascii="仿宋_GB2312" w:hAnsi="宋体" w:eastAsia="仿宋_GB2312"/>
                <w:sz w:val="24"/>
              </w:rPr>
              <w:t>本招标文件由招标人负责解释。</w:t>
            </w:r>
          </w:p>
          <w:permEnd w:id="71"/>
        </w:tc>
      </w:tr>
    </w:tbl>
    <w:p>
      <w:pPr>
        <w:pStyle w:val="3"/>
        <w:ind w:left="397"/>
        <w:rPr>
          <w:rFonts w:ascii="仿宋_GB2312" w:hAnsi="华文仿宋" w:eastAsia="仿宋_GB2312"/>
          <w:b w:val="0"/>
          <w:bCs/>
          <w:sz w:val="28"/>
          <w:szCs w:val="44"/>
        </w:rPr>
        <w:sectPr>
          <w:pgSz w:w="11907" w:h="16840"/>
          <w:pgMar w:top="1077" w:right="1134" w:bottom="1077" w:left="1134" w:header="680" w:footer="907" w:gutter="0"/>
          <w:cols w:space="720" w:num="1"/>
          <w:docGrid w:linePitch="271" w:charSpace="0"/>
        </w:sectPr>
      </w:pPr>
    </w:p>
    <w:p>
      <w:pPr>
        <w:pStyle w:val="3"/>
        <w:ind w:left="397"/>
        <w:rPr>
          <w:rFonts w:ascii="仿宋_GB2312" w:hAnsi="华文仿宋" w:eastAsia="仿宋_GB2312"/>
          <w:b w:val="0"/>
          <w:bCs/>
          <w:sz w:val="28"/>
          <w:szCs w:val="44"/>
        </w:rPr>
      </w:pPr>
      <w:r>
        <w:rPr>
          <w:rFonts w:hint="eastAsia" w:ascii="仿宋_GB2312" w:hAnsi="华文仿宋" w:eastAsia="仿宋_GB2312"/>
          <w:b w:val="0"/>
          <w:bCs/>
          <w:sz w:val="28"/>
          <w:szCs w:val="44"/>
        </w:rPr>
        <w:t>前附表3</w:t>
      </w:r>
      <w:bookmarkEnd w:id="7"/>
      <w:r>
        <w:rPr>
          <w:rFonts w:hint="eastAsia" w:ascii="仿宋_GB2312" w:hAnsi="华文仿宋" w:eastAsia="仿宋_GB2312"/>
          <w:b w:val="0"/>
          <w:bCs/>
          <w:sz w:val="28"/>
          <w:szCs w:val="44"/>
        </w:rPr>
        <w:t>（招标人要求一览表）</w:t>
      </w:r>
      <w:bookmarkEnd w:id="8"/>
    </w:p>
    <w:tbl>
      <w:tblPr>
        <w:tblStyle w:val="49"/>
        <w:tblW w:w="105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9"/>
        <w:gridCol w:w="1417"/>
        <w:gridCol w:w="809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0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ind w:right="-358" w:firstLine="120" w:firstLineChars="43"/>
              <w:jc w:val="left"/>
              <w:rPr>
                <w:rFonts w:ascii="仿宋_GB2312" w:hAnsi="宋体" w:eastAsia="仿宋_GB2312"/>
                <w:sz w:val="28"/>
                <w:szCs w:val="28"/>
              </w:rPr>
            </w:pPr>
            <w:r>
              <w:rPr>
                <w:rFonts w:hint="eastAsia" w:ascii="仿宋_GB2312" w:hAnsi="宋体" w:eastAsia="仿宋_GB2312"/>
                <w:sz w:val="28"/>
                <w:szCs w:val="28"/>
              </w:rPr>
              <w:t>序号</w:t>
            </w:r>
          </w:p>
        </w:tc>
        <w:tc>
          <w:tcPr>
            <w:tcW w:w="14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jc w:val="center"/>
              <w:rPr>
                <w:rFonts w:ascii="仿宋_GB2312" w:hAnsi="宋体" w:eastAsia="仿宋_GB2312"/>
                <w:sz w:val="28"/>
                <w:szCs w:val="28"/>
              </w:rPr>
            </w:pPr>
            <w:r>
              <w:rPr>
                <w:rFonts w:hint="eastAsia" w:ascii="仿宋_GB2312" w:hAnsi="宋体" w:eastAsia="仿宋_GB2312"/>
                <w:sz w:val="28"/>
                <w:szCs w:val="28"/>
              </w:rPr>
              <w:t>序列名称</w:t>
            </w:r>
          </w:p>
        </w:tc>
        <w:tc>
          <w:tcPr>
            <w:tcW w:w="8095" w:type="dxa"/>
            <w:tcBorders>
              <w:top w:val="single" w:color="auto" w:sz="4" w:space="0"/>
              <w:left w:val="single" w:color="auto" w:sz="4" w:space="0"/>
              <w:bottom w:val="single" w:color="auto" w:sz="4" w:space="0"/>
              <w:right w:val="single" w:color="auto" w:sz="4" w:space="0"/>
            </w:tcBorders>
            <w:vAlign w:val="center"/>
          </w:tcPr>
          <w:p>
            <w:pPr>
              <w:tabs>
                <w:tab w:val="left" w:pos="1180"/>
              </w:tabs>
              <w:adjustRightInd w:val="0"/>
              <w:snapToGrid w:val="0"/>
              <w:spacing w:beforeLines="20" w:afterLines="20" w:line="320" w:lineRule="exact"/>
              <w:jc w:val="center"/>
              <w:rPr>
                <w:rFonts w:ascii="仿宋_GB2312" w:hAnsi="宋体" w:eastAsia="仿宋_GB2312"/>
                <w:sz w:val="28"/>
                <w:szCs w:val="28"/>
              </w:rPr>
            </w:pPr>
            <w:r>
              <w:rPr>
                <w:rFonts w:hint="eastAsia" w:ascii="仿宋_GB2312" w:hAnsi="宋体" w:eastAsia="仿宋_GB2312"/>
                <w:sz w:val="28"/>
                <w:szCs w:val="28"/>
              </w:rPr>
              <w:t>序列内容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2" w:hRule="exact"/>
          <w:jc w:val="center"/>
        </w:trPr>
        <w:tc>
          <w:tcPr>
            <w:tcW w:w="10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ind w:right="-358" w:firstLine="103" w:firstLineChars="43"/>
              <w:rPr>
                <w:rFonts w:ascii="仿宋_GB2312" w:hAnsi="宋体" w:eastAsia="仿宋_GB2312"/>
                <w:sz w:val="24"/>
                <w:szCs w:val="28"/>
              </w:rPr>
            </w:pPr>
            <w:permStart w:id="72" w:edGrp="everyone" w:colFirst="2" w:colLast="2"/>
            <w:r>
              <w:rPr>
                <w:rFonts w:ascii="仿宋_GB2312" w:hAnsi="宋体" w:eastAsia="仿宋_GB2312"/>
                <w:sz w:val="24"/>
                <w:szCs w:val="28"/>
              </w:rPr>
              <w:t>4</w:t>
            </w:r>
            <w:r>
              <w:rPr>
                <w:rFonts w:hint="eastAsia" w:ascii="仿宋_GB2312" w:hAnsi="宋体" w:eastAsia="仿宋_GB2312"/>
                <w:sz w:val="24"/>
                <w:szCs w:val="28"/>
              </w:rPr>
              <w:t>3</w:t>
            </w:r>
          </w:p>
        </w:tc>
        <w:tc>
          <w:tcPr>
            <w:tcW w:w="14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left"/>
              <w:rPr>
                <w:rFonts w:ascii="仿宋_GB2312" w:hAnsi="宋体" w:eastAsia="仿宋_GB2312"/>
                <w:sz w:val="24"/>
              </w:rPr>
            </w:pPr>
            <w:r>
              <w:rPr>
                <w:rFonts w:hint="eastAsia" w:ascii="仿宋_GB2312" w:hAnsi="宋体" w:eastAsia="仿宋_GB2312"/>
                <w:sz w:val="24"/>
              </w:rPr>
              <w:t>人员到岗及履约要求</w:t>
            </w:r>
          </w:p>
        </w:tc>
        <w:tc>
          <w:tcPr>
            <w:tcW w:w="8095" w:type="dxa"/>
            <w:tcBorders>
              <w:top w:val="single" w:color="auto" w:sz="4" w:space="0"/>
              <w:left w:val="single" w:color="auto" w:sz="4" w:space="0"/>
              <w:bottom w:val="single" w:color="auto" w:sz="4" w:space="0"/>
              <w:right w:val="single" w:color="auto" w:sz="4" w:space="0"/>
            </w:tcBorders>
            <w:vAlign w:val="center"/>
          </w:tcPr>
          <w:p>
            <w:pPr>
              <w:spacing w:line="320" w:lineRule="exact"/>
              <w:ind w:firstLine="360" w:firstLineChars="150"/>
              <w:rPr>
                <w:rFonts w:ascii="仿宋_GB2312" w:hAnsi="宋体" w:eastAsia="仿宋_GB2312"/>
                <w:sz w:val="24"/>
              </w:rPr>
            </w:pPr>
          </w:p>
        </w:tc>
      </w:tr>
      <w:permEnd w:id="7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69" w:hRule="exact"/>
          <w:jc w:val="center"/>
        </w:trPr>
        <w:tc>
          <w:tcPr>
            <w:tcW w:w="10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ind w:right="-358" w:firstLine="103" w:firstLineChars="43"/>
              <w:rPr>
                <w:rFonts w:ascii="仿宋_GB2312" w:hAnsi="宋体" w:eastAsia="仿宋_GB2312"/>
                <w:sz w:val="24"/>
                <w:szCs w:val="28"/>
              </w:rPr>
            </w:pPr>
            <w:permStart w:id="73" w:edGrp="everyone" w:colFirst="2" w:colLast="2"/>
            <w:r>
              <w:rPr>
                <w:rFonts w:ascii="仿宋_GB2312" w:hAnsi="宋体" w:eastAsia="仿宋_GB2312"/>
                <w:sz w:val="24"/>
                <w:szCs w:val="28"/>
              </w:rPr>
              <w:t>4</w:t>
            </w:r>
            <w:r>
              <w:rPr>
                <w:rFonts w:hint="eastAsia" w:ascii="仿宋_GB2312" w:hAnsi="宋体" w:eastAsia="仿宋_GB2312"/>
                <w:sz w:val="24"/>
                <w:szCs w:val="28"/>
              </w:rPr>
              <w:t>4</w:t>
            </w:r>
          </w:p>
        </w:tc>
        <w:tc>
          <w:tcPr>
            <w:tcW w:w="14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left"/>
              <w:rPr>
                <w:rFonts w:ascii="仿宋_GB2312" w:hAnsi="宋体" w:eastAsia="仿宋_GB2312"/>
                <w:sz w:val="24"/>
              </w:rPr>
            </w:pPr>
            <w:r>
              <w:rPr>
                <w:rFonts w:hint="eastAsia" w:ascii="仿宋_GB2312" w:hAnsi="宋体" w:eastAsia="仿宋_GB2312"/>
                <w:sz w:val="24"/>
              </w:rPr>
              <w:t>材料要求</w:t>
            </w:r>
          </w:p>
        </w:tc>
        <w:tc>
          <w:tcPr>
            <w:tcW w:w="80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rPr>
                <w:rFonts w:ascii="黑体" w:hAnsi="宋体" w:eastAsia="黑体"/>
                <w:sz w:val="24"/>
              </w:rPr>
            </w:pPr>
          </w:p>
        </w:tc>
      </w:tr>
      <w:permEnd w:id="7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exact"/>
          <w:jc w:val="center"/>
        </w:trPr>
        <w:tc>
          <w:tcPr>
            <w:tcW w:w="10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ind w:right="-358" w:firstLine="103" w:firstLineChars="43"/>
              <w:rPr>
                <w:rFonts w:ascii="仿宋_GB2312" w:hAnsi="宋体" w:eastAsia="仿宋_GB2312"/>
                <w:sz w:val="24"/>
                <w:szCs w:val="28"/>
              </w:rPr>
            </w:pPr>
            <w:r>
              <w:rPr>
                <w:rFonts w:ascii="仿宋_GB2312" w:hAnsi="宋体" w:eastAsia="仿宋_GB2312"/>
                <w:sz w:val="24"/>
                <w:szCs w:val="28"/>
              </w:rPr>
              <w:t>4</w:t>
            </w:r>
            <w:r>
              <w:rPr>
                <w:rFonts w:hint="eastAsia" w:ascii="仿宋_GB2312" w:hAnsi="宋体" w:eastAsia="仿宋_GB2312"/>
                <w:sz w:val="24"/>
                <w:szCs w:val="28"/>
              </w:rPr>
              <w:t>5</w:t>
            </w:r>
          </w:p>
        </w:tc>
        <w:tc>
          <w:tcPr>
            <w:tcW w:w="14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left"/>
              <w:rPr>
                <w:rFonts w:ascii="仿宋_GB2312" w:hAnsi="宋体" w:eastAsia="仿宋_GB2312"/>
                <w:sz w:val="24"/>
              </w:rPr>
            </w:pPr>
            <w:permStart w:id="74" w:edGrp="everyone"/>
            <w:r>
              <w:rPr>
                <w:rFonts w:hint="eastAsia" w:ascii="仿宋_GB2312" w:hAnsi="宋体" w:eastAsia="仿宋_GB2312"/>
                <w:sz w:val="24"/>
              </w:rPr>
              <w:t>工程内容</w:t>
            </w:r>
          </w:p>
          <w:p>
            <w:pPr>
              <w:adjustRightInd w:val="0"/>
              <w:snapToGrid w:val="0"/>
              <w:spacing w:line="300" w:lineRule="exact"/>
              <w:jc w:val="left"/>
              <w:rPr>
                <w:rFonts w:ascii="仿宋_GB2312" w:hAnsi="宋体" w:eastAsia="仿宋_GB2312"/>
                <w:sz w:val="24"/>
              </w:rPr>
            </w:pPr>
            <w:r>
              <w:rPr>
                <w:rFonts w:hint="eastAsia" w:ascii="仿宋_GB2312" w:hAnsi="宋体" w:eastAsia="仿宋_GB2312"/>
                <w:sz w:val="24"/>
              </w:rPr>
              <w:t>及施工重点、难点</w:t>
            </w:r>
          </w:p>
        </w:tc>
        <w:tc>
          <w:tcPr>
            <w:tcW w:w="80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hAnsi="宋体" w:eastAsia="仿宋_GB2312"/>
                <w:sz w:val="24"/>
                <w:u w:val="singl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224" w:hRule="exact"/>
          <w:jc w:val="center"/>
        </w:trPr>
        <w:tc>
          <w:tcPr>
            <w:tcW w:w="100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20" w:afterLines="20" w:line="320" w:lineRule="exact"/>
              <w:ind w:right="-358" w:firstLine="103" w:firstLineChars="43"/>
              <w:rPr>
                <w:rFonts w:ascii="仿宋_GB2312" w:hAnsi="宋体" w:eastAsia="仿宋_GB2312"/>
                <w:sz w:val="24"/>
                <w:szCs w:val="28"/>
              </w:rPr>
            </w:pPr>
            <w:r>
              <w:rPr>
                <w:rFonts w:ascii="仿宋_GB2312" w:hAnsi="宋体" w:eastAsia="仿宋_GB2312"/>
                <w:sz w:val="24"/>
                <w:szCs w:val="28"/>
              </w:rPr>
              <w:t>4</w:t>
            </w:r>
            <w:r>
              <w:rPr>
                <w:rFonts w:hint="eastAsia" w:ascii="仿宋_GB2312" w:hAnsi="宋体" w:eastAsia="仿宋_GB2312"/>
                <w:sz w:val="24"/>
                <w:szCs w:val="28"/>
              </w:rPr>
              <w:t>6</w:t>
            </w:r>
          </w:p>
        </w:tc>
        <w:tc>
          <w:tcPr>
            <w:tcW w:w="14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exact"/>
              <w:jc w:val="left"/>
              <w:rPr>
                <w:rFonts w:ascii="仿宋_GB2312" w:hAnsi="宋体" w:eastAsia="仿宋_GB2312"/>
                <w:sz w:val="24"/>
              </w:rPr>
            </w:pPr>
            <w:r>
              <w:rPr>
                <w:rFonts w:hint="eastAsia" w:ascii="仿宋_GB2312" w:hAnsi="宋体" w:eastAsia="仿宋_GB2312"/>
                <w:sz w:val="24"/>
              </w:rPr>
              <w:t>其他要求</w:t>
            </w:r>
          </w:p>
        </w:tc>
        <w:tc>
          <w:tcPr>
            <w:tcW w:w="8095"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sz w:val="24"/>
              </w:rPr>
            </w:pPr>
            <w:r>
              <w:rPr>
                <w:rFonts w:ascii="仿宋_GB2312" w:hAnsi="宋体" w:eastAsia="仿宋_GB2312"/>
                <w:sz w:val="24"/>
              </w:rPr>
              <w:t>1</w:t>
            </w:r>
            <w:r>
              <w:rPr>
                <w:rFonts w:hint="eastAsia" w:ascii="仿宋_GB2312" w:hAnsi="宋体" w:eastAsia="仿宋_GB2312"/>
                <w:sz w:val="24"/>
              </w:rPr>
              <w:t>、</w:t>
            </w:r>
            <w:r>
              <w:rPr>
                <w:rFonts w:hint="eastAsia" w:ascii="仿宋_GB2312" w:hAnsi="宋体" w:eastAsia="仿宋_GB2312"/>
                <w:sz w:val="24"/>
                <w:szCs w:val="22"/>
              </w:rPr>
              <w:t>本项目清标所需的</w:t>
            </w:r>
            <w:permEnd w:id="74"/>
            <w:r>
              <w:rPr>
                <w:rFonts w:hint="eastAsia" w:ascii="仿宋_GB2312" w:hAnsi="宋体" w:eastAsia="仿宋_GB2312"/>
                <w:sz w:val="24"/>
                <w:szCs w:val="22"/>
              </w:rPr>
              <w:t>软件版预算价，软件格式为</w:t>
            </w:r>
            <w:r>
              <w:rPr>
                <w:rFonts w:hint="eastAsia" w:ascii="仿宋_GB2312" w:hAnsi="宋体" w:eastAsia="仿宋_GB2312"/>
                <w:sz w:val="24"/>
              </w:rPr>
              <w:t>GLTB</w:t>
            </w:r>
            <w:r>
              <w:rPr>
                <w:rFonts w:hint="eastAsia" w:ascii="仿宋_GB2312" w:hAnsi="宋体" w:eastAsia="仿宋_GB2312"/>
                <w:sz w:val="24"/>
                <w:szCs w:val="22"/>
              </w:rPr>
              <w:t>，存储介质为光盘，由招标人密封盖章后，在开标现场提交给项目责任人。再由项目责任人转交给评标委员会，最终由评标委员会导入系统；招标人对预算价的内容以及光盘的可读性自行负责，并承担相应风险。</w:t>
            </w:r>
          </w:p>
          <w:p>
            <w:pPr>
              <w:rPr>
                <w:rFonts w:ascii="仿宋_GB2312" w:hAnsi="宋体" w:eastAsia="仿宋_GB2312"/>
                <w:sz w:val="24"/>
              </w:rPr>
            </w:pPr>
            <w:r>
              <w:rPr>
                <w:rFonts w:ascii="仿宋_GB2312" w:hAnsi="宋体" w:eastAsia="仿宋_GB2312"/>
                <w:sz w:val="24"/>
              </w:rPr>
              <w:t>2</w:t>
            </w:r>
            <w:r>
              <w:rPr>
                <w:rFonts w:hint="eastAsia" w:ascii="仿宋_GB2312" w:hAnsi="宋体" w:eastAsia="仿宋_GB2312"/>
                <w:sz w:val="24"/>
              </w:rPr>
              <w:t>、本项目交易适用《中华人民共和国招标投标法》及其相关规定。</w:t>
            </w:r>
          </w:p>
          <w:p>
            <w:pPr>
              <w:rPr>
                <w:rFonts w:ascii="仿宋" w:hAnsi="仿宋" w:eastAsia="仿宋"/>
                <w:sz w:val="24"/>
              </w:rPr>
            </w:pPr>
            <w:permStart w:id="75" w:edGrp="everyone"/>
            <w:r>
              <w:rPr>
                <w:rFonts w:ascii="仿宋_GB2312" w:hAnsi="宋体" w:eastAsia="仿宋_GB2312"/>
                <w:sz w:val="24"/>
              </w:rPr>
              <w:t>3</w:t>
            </w:r>
            <w:r>
              <w:rPr>
                <w:rFonts w:hint="eastAsia" w:ascii="仿宋_GB2312" w:hAnsi="宋体" w:eastAsia="仿宋_GB2312"/>
                <w:sz w:val="24"/>
              </w:rPr>
              <w:t>、</w:t>
            </w:r>
            <w:r>
              <w:rPr>
                <w:rFonts w:ascii="仿宋" w:hAnsi="仿宋" w:eastAsia="仿宋"/>
                <w:sz w:val="24"/>
              </w:rPr>
              <w:t>采用两阶段评标法，出现争议问题按照《关于招标采购项目两阶段评标法的释义》（蚌公共资源局﹝2019﹞94号）执行。</w:t>
            </w:r>
          </w:p>
          <w:p>
            <w:pPr>
              <w:rPr>
                <w:rFonts w:ascii="仿宋_GB2312" w:hAnsi="宋体" w:eastAsia="仿宋_GB2312"/>
                <w:color w:val="FF0000"/>
                <w:sz w:val="24"/>
                <w:u w:val="single"/>
              </w:rPr>
            </w:pPr>
            <w:r>
              <w:rPr>
                <w:rFonts w:ascii="仿宋" w:hAnsi="仿宋" w:eastAsia="仿宋"/>
                <w:sz w:val="24"/>
              </w:rPr>
              <w:t>采用其他评标办法，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行为等情形，</w:t>
            </w:r>
            <w:r>
              <w:rPr>
                <w:rFonts w:ascii="仿宋" w:hAnsi="仿宋" w:eastAsia="仿宋"/>
                <w:sz w:val="24"/>
                <w:u w:val="single"/>
              </w:rPr>
              <w:t>不符合中标条件的，招标人</w:t>
            </w:r>
            <w:r>
              <w:rPr>
                <w:rFonts w:hint="eastAsia" w:ascii="宋体" w:hAnsi="宋体" w:cs="宋体"/>
                <w:sz w:val="24"/>
                <w:u w:val="single"/>
              </w:rPr>
              <w:t> </w:t>
            </w:r>
            <w:r>
              <w:rPr>
                <w:rFonts w:hint="eastAsia" w:ascii="仿宋" w:hAnsi="仿宋" w:eastAsia="仿宋" w:cs="仿宋"/>
                <w:sz w:val="24"/>
                <w:u w:val="single"/>
              </w:rPr>
              <w:t>□</w:t>
            </w:r>
            <w:r>
              <w:rPr>
                <w:rFonts w:ascii="仿宋" w:hAnsi="仿宋" w:eastAsia="仿宋"/>
                <w:sz w:val="24"/>
                <w:u w:val="single"/>
              </w:rPr>
              <w:t>按照评标委员会提出的中标候选人名单排序依次确定其他中标候选人为中标人，□重新招标。</w:t>
            </w:r>
          </w:p>
          <w:permEnd w:id="75"/>
          <w:p>
            <w:pPr>
              <w:rPr>
                <w:rFonts w:ascii="仿宋_GB2312" w:hAnsi="宋体" w:eastAsia="仿宋_GB2312"/>
                <w:sz w:val="24"/>
              </w:rPr>
            </w:pPr>
            <w:r>
              <w:rPr>
                <w:rFonts w:ascii="仿宋_GB2312" w:hAnsi="宋体" w:eastAsia="仿宋_GB2312"/>
                <w:sz w:val="24"/>
              </w:rPr>
              <w:t>4</w:t>
            </w:r>
            <w:r>
              <w:rPr>
                <w:rFonts w:hint="eastAsia" w:ascii="仿宋_GB2312" w:hAnsi="宋体" w:eastAsia="仿宋_GB2312"/>
                <w:sz w:val="24"/>
              </w:rPr>
              <w:t>、本项目招标投标过程中出现以下行为，根据情形，按照《招标投标法》、《招标投标法实施条例》、《关于修订蚌埠市公共资源交易领域行政处罚自由裁量标准（第一批）的通知》等规定，予以处理。</w:t>
            </w:r>
          </w:p>
          <w:p>
            <w:pPr>
              <w:rPr>
                <w:rFonts w:ascii="仿宋_GB2312" w:hAnsi="宋体" w:eastAsia="仿宋_GB2312"/>
                <w:sz w:val="24"/>
              </w:rPr>
            </w:pPr>
            <w:r>
              <w:rPr>
                <w:rFonts w:hint="eastAsia" w:ascii="仿宋_GB2312" w:hAnsi="宋体" w:eastAsia="仿宋_GB2312"/>
                <w:sz w:val="24"/>
              </w:rPr>
              <w:t>①投标人相互串通投标或者与招标人、代理机构、评标委员会成员串通投标；投标人以向招标人、代理机构或者评标委员会成员行贿或提供其他利益的手段谋取中标的。</w:t>
            </w:r>
          </w:p>
          <w:p>
            <w:pPr>
              <w:rPr>
                <w:rFonts w:ascii="仿宋_GB2312" w:hAnsi="宋体" w:eastAsia="仿宋_GB2312"/>
                <w:sz w:val="24"/>
              </w:rPr>
            </w:pPr>
            <w:r>
              <w:rPr>
                <w:rFonts w:hint="eastAsia" w:ascii="仿宋_GB2312" w:hAnsi="宋体" w:eastAsia="仿宋_GB2312"/>
                <w:sz w:val="24"/>
              </w:rPr>
              <w:t>②依法必须进行招标的项目的投标人以他人名义投标或者以其他方式弄虚作假，骗取中标的。</w:t>
            </w:r>
          </w:p>
          <w:p>
            <w:pPr>
              <w:rPr>
                <w:rFonts w:ascii="仿宋_GB2312" w:hAnsi="宋体" w:eastAsia="仿宋_GB2312"/>
                <w:sz w:val="24"/>
              </w:rPr>
            </w:pPr>
            <w:r>
              <w:rPr>
                <w:rFonts w:hint="eastAsia" w:ascii="仿宋_GB2312" w:hAnsi="宋体" w:eastAsia="仿宋_GB2312"/>
                <w:sz w:val="24"/>
              </w:rPr>
              <w:t>③中标人无正当理由不与招标人订立合同，在签订合同时向招标人提出附加条件，或者不按照招标文件要求提交履约保证金的。</w:t>
            </w:r>
          </w:p>
          <w:p>
            <w:pPr>
              <w:rPr>
                <w:rFonts w:ascii="仿宋_GB2312" w:hAnsi="宋体" w:eastAsia="仿宋_GB2312"/>
                <w:sz w:val="24"/>
              </w:rPr>
            </w:pPr>
            <w:r>
              <w:rPr>
                <w:rFonts w:hint="eastAsia" w:ascii="仿宋_GB2312" w:hAnsi="宋体" w:eastAsia="仿宋_GB2312"/>
                <w:sz w:val="24"/>
              </w:rPr>
              <w:t>④评标委员会成员不客观、公正、履行评标职责的。</w:t>
            </w:r>
          </w:p>
          <w:p>
            <w:pPr>
              <w:rPr>
                <w:rFonts w:hint="eastAsia" w:ascii="仿宋" w:hAnsi="仿宋" w:eastAsia="仿宋" w:cs="仿宋"/>
                <w:color w:val="auto"/>
                <w:kern w:val="0"/>
                <w:sz w:val="24"/>
                <w:szCs w:val="24"/>
                <w:u w:val="none"/>
                <w:lang w:eastAsia="zh-CN"/>
              </w:rPr>
            </w:pPr>
            <w:permStart w:id="76" w:edGrp="everyone"/>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eastAsia="zh-CN"/>
              </w:rPr>
              <w:t>质保金缴纳数额：</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，时间：</w:t>
            </w:r>
            <w:r>
              <w:rPr>
                <w:rFonts w:hint="eastAsia" w:ascii="仿宋" w:hAnsi="仿宋" w:eastAsia="仿宋" w:cs="仿宋"/>
                <w:color w:val="auto"/>
                <w:sz w:val="24"/>
                <w:szCs w:val="24"/>
                <w:u w:val="single"/>
                <w:lang w:val="en-US" w:eastAsia="zh-CN"/>
              </w:rPr>
              <w:t xml:space="preserve">      </w:t>
            </w:r>
            <w:permEnd w:id="76"/>
            <w:r>
              <w:rPr>
                <w:rFonts w:hint="eastAsia" w:ascii="仿宋" w:hAnsi="仿宋" w:eastAsia="仿宋" w:cs="仿宋"/>
                <w:color w:val="auto"/>
                <w:sz w:val="24"/>
                <w:szCs w:val="24"/>
                <w:u w:val="none"/>
                <w:lang w:val="en-US" w:eastAsia="zh-CN"/>
              </w:rPr>
              <w:t>，方式</w:t>
            </w:r>
            <w:r>
              <w:rPr>
                <w:rFonts w:hint="eastAsia" w:ascii="仿宋" w:hAnsi="仿宋" w:eastAsia="仿宋" w:cs="仿宋"/>
                <w:color w:val="auto"/>
                <w:sz w:val="24"/>
                <w:szCs w:val="24"/>
                <w:lang w:eastAsia="zh-CN"/>
              </w:rPr>
              <w:t>：</w:t>
            </w:r>
            <w:r>
              <w:rPr>
                <w:rFonts w:hint="eastAsia" w:ascii="仿宋" w:hAnsi="仿宋" w:eastAsia="仿宋" w:cs="仿宋"/>
                <w:color w:val="auto"/>
                <w:kern w:val="0"/>
                <w:sz w:val="24"/>
                <w:szCs w:val="24"/>
                <w:u w:val="single"/>
              </w:rPr>
              <w:t>银行转账或见索即付保函</w:t>
            </w:r>
            <w:r>
              <w:rPr>
                <w:rFonts w:hint="eastAsia" w:ascii="仿宋" w:hAnsi="仿宋" w:eastAsia="仿宋" w:cs="仿宋"/>
                <w:color w:val="auto"/>
                <w:kern w:val="0"/>
                <w:sz w:val="24"/>
                <w:szCs w:val="24"/>
                <w:u w:val="single"/>
                <w:lang w:eastAsia="zh-CN"/>
              </w:rPr>
              <w:t>或从履约保证金中扣除</w:t>
            </w:r>
            <w:r>
              <w:rPr>
                <w:rFonts w:hint="eastAsia" w:ascii="仿宋" w:hAnsi="仿宋" w:eastAsia="仿宋" w:cs="仿宋"/>
                <w:color w:val="auto"/>
                <w:kern w:val="0"/>
                <w:sz w:val="24"/>
                <w:szCs w:val="24"/>
                <w:u w:val="none"/>
                <w:lang w:eastAsia="zh-CN"/>
              </w:rPr>
              <w:t>，招标人要求中标人缴纳质保金的，不得在支付合同价款过程中，再扣除质保金。</w:t>
            </w:r>
          </w:p>
          <w:p>
            <w:pPr>
              <w:rPr>
                <w:rFonts w:ascii="仿宋" w:hAnsi="仿宋" w:eastAsia="仿宋"/>
                <w:sz w:val="24"/>
              </w:rPr>
            </w:pPr>
          </w:p>
        </w:tc>
      </w:tr>
    </w:tbl>
    <w:p>
      <w:pPr>
        <w:rPr>
          <w:rFonts w:ascii="仿宋_GB2312" w:eastAsia="仿宋_GB2312"/>
        </w:rPr>
      </w:pPr>
    </w:p>
    <w:p>
      <w:pPr>
        <w:pStyle w:val="3"/>
        <w:spacing w:line="360" w:lineRule="exact"/>
        <w:rPr>
          <w:rFonts w:ascii="仿宋_GB2312" w:hAnsi="宋体" w:eastAsia="仿宋_GB2312"/>
          <w:sz w:val="32"/>
          <w:szCs w:val="32"/>
        </w:rPr>
        <w:sectPr>
          <w:pgSz w:w="11907" w:h="16840"/>
          <w:pgMar w:top="1077" w:right="1134" w:bottom="1077" w:left="1134" w:header="680" w:footer="907" w:gutter="0"/>
          <w:cols w:space="720" w:num="1"/>
          <w:docGrid w:linePitch="271" w:charSpace="0"/>
        </w:sectPr>
      </w:pPr>
      <w:bookmarkStart w:id="9" w:name="_Toc208106830"/>
    </w:p>
    <w:p>
      <w:pPr>
        <w:pStyle w:val="3"/>
        <w:spacing w:line="360" w:lineRule="exact"/>
        <w:rPr>
          <w:rFonts w:ascii="仿宋_GB2312" w:hAnsi="宋体" w:eastAsia="仿宋_GB2312"/>
          <w:sz w:val="32"/>
          <w:szCs w:val="32"/>
        </w:rPr>
      </w:pPr>
      <w:r>
        <w:rPr>
          <w:rFonts w:hint="eastAsia" w:ascii="仿宋_GB2312" w:hAnsi="宋体" w:eastAsia="仿宋_GB2312"/>
          <w:sz w:val="32"/>
          <w:szCs w:val="32"/>
        </w:rPr>
        <w:t>（二）总  则</w:t>
      </w:r>
      <w:bookmarkEnd w:id="9"/>
    </w:p>
    <w:p>
      <w:pPr>
        <w:pStyle w:val="26"/>
        <w:spacing w:line="360" w:lineRule="exact"/>
        <w:rPr>
          <w:rFonts w:ascii="仿宋_GB2312" w:hAnsi="Times New Roman" w:eastAsia="仿宋_GB2312"/>
          <w:bCs/>
          <w:sz w:val="24"/>
          <w:szCs w:val="24"/>
        </w:rPr>
      </w:pPr>
      <w:r>
        <w:rPr>
          <w:rFonts w:hint="eastAsia" w:ascii="仿宋_GB2312" w:hAnsi="Times New Roman" w:eastAsia="仿宋_GB2312"/>
          <w:bCs/>
          <w:sz w:val="24"/>
          <w:szCs w:val="24"/>
        </w:rPr>
        <w:t>1</w:t>
      </w:r>
      <w:r>
        <w:rPr>
          <w:rFonts w:hint="eastAsia" w:ascii="仿宋_GB2312" w:eastAsia="仿宋_GB2312"/>
          <w:bCs/>
          <w:sz w:val="24"/>
          <w:szCs w:val="24"/>
        </w:rPr>
        <w:t>、工程说明</w:t>
      </w:r>
    </w:p>
    <w:p>
      <w:pPr>
        <w:adjustRightInd w:val="0"/>
        <w:snapToGrid w:val="0"/>
        <w:spacing w:beforeLines="20" w:afterLines="20" w:line="360" w:lineRule="exact"/>
        <w:rPr>
          <w:rFonts w:ascii="仿宋_GB2312" w:eastAsia="仿宋_GB2312"/>
          <w:sz w:val="24"/>
        </w:rPr>
      </w:pPr>
      <w:r>
        <w:rPr>
          <w:rFonts w:hint="eastAsia" w:ascii="仿宋_GB2312" w:eastAsia="仿宋_GB2312"/>
          <w:sz w:val="24"/>
        </w:rPr>
        <w:t xml:space="preserve">    1.1本招标工程项目说明详见本须知前附表；</w:t>
      </w:r>
    </w:p>
    <w:p>
      <w:pPr>
        <w:adjustRightInd w:val="0"/>
        <w:snapToGrid w:val="0"/>
        <w:spacing w:beforeLines="20" w:afterLines="20" w:line="360" w:lineRule="exact"/>
        <w:rPr>
          <w:rFonts w:ascii="仿宋_GB2312" w:eastAsia="仿宋_GB2312"/>
          <w:sz w:val="24"/>
        </w:rPr>
      </w:pPr>
      <w:r>
        <w:rPr>
          <w:rFonts w:hint="eastAsia" w:ascii="仿宋_GB2312" w:eastAsia="仿宋_GB2312"/>
          <w:sz w:val="24"/>
        </w:rPr>
        <w:t xml:space="preserve">    1.2本招标工程项目按照《中华人民共和国招标投标法》、《中华人民共和国招标投标法实施条例》等有关法律、法规和规章要求，通过</w:t>
      </w:r>
      <w:permStart w:id="77" w:edGrp="everyone"/>
      <w:r>
        <w:rPr>
          <w:rFonts w:hint="eastAsia" w:ascii="仿宋_GB2312" w:eastAsia="仿宋_GB2312"/>
          <w:sz w:val="24"/>
        </w:rPr>
        <w:t>公开招标方式</w:t>
      </w:r>
      <w:permEnd w:id="77"/>
      <w:r>
        <w:rPr>
          <w:rFonts w:hint="eastAsia" w:ascii="仿宋_GB2312" w:eastAsia="仿宋_GB2312"/>
          <w:sz w:val="24"/>
        </w:rPr>
        <w:t>选定承包人。</w:t>
      </w:r>
    </w:p>
    <w:p>
      <w:pPr>
        <w:pStyle w:val="26"/>
        <w:spacing w:line="360" w:lineRule="exact"/>
        <w:rPr>
          <w:rFonts w:ascii="仿宋_GB2312" w:hAnsi="Times New Roman" w:eastAsia="仿宋_GB2312"/>
          <w:sz w:val="24"/>
          <w:szCs w:val="24"/>
        </w:rPr>
      </w:pPr>
      <w:r>
        <w:rPr>
          <w:rFonts w:hint="eastAsia" w:ascii="仿宋_GB2312" w:hAnsi="Times New Roman" w:eastAsia="仿宋_GB2312"/>
          <w:sz w:val="24"/>
          <w:szCs w:val="24"/>
        </w:rPr>
        <w:t>2</w:t>
      </w:r>
      <w:r>
        <w:rPr>
          <w:rFonts w:hint="eastAsia" w:ascii="仿宋_GB2312" w:eastAsia="仿宋_GB2312"/>
          <w:sz w:val="24"/>
          <w:szCs w:val="24"/>
        </w:rPr>
        <w:t>、招标范围、承包方式</w:t>
      </w:r>
    </w:p>
    <w:p>
      <w:pPr>
        <w:spacing w:beforeLines="20" w:afterLines="20" w:line="360" w:lineRule="exact"/>
        <w:ind w:firstLine="504" w:firstLineChars="240"/>
        <w:rPr>
          <w:rFonts w:ascii="仿宋_GB2312" w:hAnsi="宋体" w:eastAsia="仿宋_GB2312"/>
          <w:sz w:val="24"/>
        </w:rPr>
      </w:pPr>
      <w:r>
        <w:rPr>
          <w:rFonts w:hint="eastAsia" w:ascii="仿宋_GB2312" w:eastAsia="仿宋_GB2312"/>
        </w:rPr>
        <w:t>2</w:t>
      </w:r>
      <w:r>
        <w:rPr>
          <w:rFonts w:hint="eastAsia" w:ascii="仿宋_GB2312" w:eastAsia="仿宋_GB2312"/>
          <w:sz w:val="24"/>
        </w:rPr>
        <w:t xml:space="preserve">.1 </w:t>
      </w:r>
      <w:r>
        <w:rPr>
          <w:rFonts w:hint="eastAsia" w:ascii="仿宋_GB2312" w:hAnsi="宋体" w:eastAsia="仿宋_GB2312"/>
          <w:sz w:val="24"/>
        </w:rPr>
        <w:t>本招标工程项目的招标范围及工程内容见本须知前附表；</w:t>
      </w:r>
    </w:p>
    <w:p>
      <w:pPr>
        <w:spacing w:beforeLines="20" w:afterLines="20" w:line="360" w:lineRule="exact"/>
        <w:ind w:firstLine="489" w:firstLineChars="233"/>
        <w:rPr>
          <w:rFonts w:ascii="仿宋_GB2312" w:hAnsi="宋体" w:eastAsia="仿宋_GB2312"/>
          <w:sz w:val="24"/>
        </w:rPr>
      </w:pPr>
      <w:r>
        <w:rPr>
          <w:rFonts w:hint="eastAsia" w:ascii="仿宋_GB2312" w:eastAsia="仿宋_GB2312"/>
        </w:rPr>
        <w:t>2</w:t>
      </w:r>
      <w:r>
        <w:rPr>
          <w:rFonts w:hint="eastAsia" w:ascii="仿宋_GB2312" w:eastAsia="仿宋_GB2312"/>
          <w:sz w:val="24"/>
        </w:rPr>
        <w:t>.</w:t>
      </w:r>
      <w:r>
        <w:rPr>
          <w:rFonts w:hint="eastAsia" w:ascii="仿宋_GB2312" w:eastAsia="仿宋_GB2312"/>
        </w:rPr>
        <w:t>2</w:t>
      </w:r>
      <w:r>
        <w:rPr>
          <w:rFonts w:hint="eastAsia" w:ascii="仿宋_GB2312" w:hAnsi="宋体" w:eastAsia="仿宋_GB2312"/>
          <w:sz w:val="24"/>
        </w:rPr>
        <w:t>本招标工程项目的承包方式见本须知前附表。</w:t>
      </w:r>
    </w:p>
    <w:p>
      <w:pPr>
        <w:pStyle w:val="26"/>
        <w:spacing w:line="360" w:lineRule="exact"/>
        <w:rPr>
          <w:rFonts w:ascii="仿宋_GB2312" w:hAnsi="宋体" w:eastAsia="仿宋_GB2312"/>
          <w:sz w:val="24"/>
          <w:szCs w:val="24"/>
        </w:rPr>
      </w:pPr>
      <w:r>
        <w:rPr>
          <w:rFonts w:hint="eastAsia" w:ascii="仿宋_GB2312" w:hAnsi="宋体" w:eastAsia="仿宋_GB2312"/>
          <w:bCs/>
          <w:sz w:val="24"/>
          <w:szCs w:val="24"/>
        </w:rPr>
        <w:t>3</w:t>
      </w:r>
      <w:r>
        <w:rPr>
          <w:rFonts w:hint="eastAsia" w:ascii="仿宋_GB2312" w:hAnsi="宋体" w:eastAsia="仿宋_GB2312"/>
          <w:sz w:val="24"/>
          <w:szCs w:val="24"/>
        </w:rPr>
        <w:t>、资金来源</w:t>
      </w:r>
    </w:p>
    <w:p>
      <w:pPr>
        <w:adjustRightInd w:val="0"/>
        <w:snapToGrid w:val="0"/>
        <w:spacing w:beforeLines="20" w:afterLines="20" w:line="360" w:lineRule="exact"/>
        <w:rPr>
          <w:rFonts w:ascii="仿宋_GB2312" w:eastAsia="仿宋_GB2312"/>
          <w:sz w:val="24"/>
        </w:rPr>
      </w:pPr>
      <w:r>
        <w:rPr>
          <w:rFonts w:hint="eastAsia" w:ascii="仿宋_GB2312" w:hAnsi="宋体" w:eastAsia="仿宋_GB2312"/>
          <w:sz w:val="24"/>
        </w:rPr>
        <w:t>本招标工程项目资金来源见本须知前附表。</w:t>
      </w:r>
    </w:p>
    <w:p>
      <w:pPr>
        <w:pStyle w:val="26"/>
        <w:spacing w:line="360" w:lineRule="exact"/>
        <w:rPr>
          <w:rFonts w:ascii="仿宋_GB2312" w:hAnsi="Times New Roman" w:eastAsia="仿宋_GB2312"/>
          <w:sz w:val="24"/>
          <w:szCs w:val="24"/>
        </w:rPr>
      </w:pPr>
      <w:r>
        <w:rPr>
          <w:rFonts w:hint="eastAsia" w:ascii="仿宋_GB2312" w:hAnsi="Times New Roman" w:eastAsia="仿宋_GB2312"/>
          <w:sz w:val="24"/>
          <w:szCs w:val="24"/>
        </w:rPr>
        <w:t>4</w:t>
      </w:r>
      <w:r>
        <w:rPr>
          <w:rFonts w:hint="eastAsia" w:ascii="仿宋_GB2312" w:eastAsia="仿宋_GB2312"/>
          <w:sz w:val="24"/>
          <w:szCs w:val="24"/>
        </w:rPr>
        <w:t>、合格的投标人</w:t>
      </w:r>
    </w:p>
    <w:p>
      <w:pPr>
        <w:adjustRightInd w:val="0"/>
        <w:snapToGrid w:val="0"/>
        <w:spacing w:beforeLines="20" w:afterLines="20" w:line="360" w:lineRule="exact"/>
        <w:ind w:firstLine="480"/>
        <w:rPr>
          <w:rFonts w:ascii="仿宋_GB2312" w:hAnsi="宋体" w:eastAsia="仿宋_GB2312"/>
          <w:sz w:val="24"/>
        </w:rPr>
      </w:pPr>
      <w:r>
        <w:rPr>
          <w:rFonts w:hint="eastAsia" w:ascii="仿宋_GB2312" w:eastAsia="仿宋_GB2312"/>
          <w:sz w:val="24"/>
        </w:rPr>
        <w:t xml:space="preserve">4.1 </w:t>
      </w:r>
      <w:r>
        <w:rPr>
          <w:rFonts w:hint="eastAsia" w:ascii="仿宋_GB2312" w:hAnsi="宋体" w:eastAsia="仿宋_GB2312"/>
          <w:sz w:val="24"/>
        </w:rPr>
        <w:t>投标人资质等级及项目经理资格见前附表。</w:t>
      </w:r>
    </w:p>
    <w:p>
      <w:pPr>
        <w:adjustRightInd w:val="0"/>
        <w:snapToGrid w:val="0"/>
        <w:spacing w:beforeLines="20" w:afterLines="20" w:line="360" w:lineRule="exact"/>
        <w:rPr>
          <w:rFonts w:ascii="仿宋_GB2312" w:eastAsia="仿宋_GB2312"/>
          <w:sz w:val="24"/>
        </w:rPr>
      </w:pPr>
      <w:r>
        <w:rPr>
          <w:rFonts w:hint="eastAsia" w:ascii="仿宋_GB2312" w:eastAsia="仿宋_GB2312"/>
          <w:sz w:val="24"/>
        </w:rPr>
        <w:t xml:space="preserve">    4.2 </w:t>
      </w:r>
      <w:r>
        <w:rPr>
          <w:rFonts w:hint="eastAsia" w:ascii="仿宋_GB2312" w:hAnsi="宋体" w:eastAsia="仿宋_GB2312"/>
          <w:sz w:val="24"/>
        </w:rPr>
        <w:t>投标人合格条件详见本招标工程施工招标公告或投标邀请书以及本工程投标资格审查文件。</w:t>
      </w:r>
    </w:p>
    <w:p>
      <w:pPr>
        <w:adjustRightInd w:val="0"/>
        <w:snapToGrid w:val="0"/>
        <w:spacing w:beforeLines="20" w:afterLines="20" w:line="360" w:lineRule="exact"/>
        <w:ind w:firstLine="480"/>
        <w:rPr>
          <w:rFonts w:ascii="仿宋_GB2312" w:eastAsia="仿宋_GB2312"/>
          <w:sz w:val="24"/>
        </w:rPr>
      </w:pPr>
      <w:r>
        <w:rPr>
          <w:rFonts w:hint="eastAsia" w:ascii="仿宋_GB2312" w:eastAsia="仿宋_GB2312"/>
          <w:sz w:val="24"/>
        </w:rPr>
        <w:t xml:space="preserve">4.3 </w:t>
      </w:r>
      <w:r>
        <w:rPr>
          <w:rFonts w:hint="eastAsia" w:ascii="仿宋_GB2312" w:hAnsi="宋体" w:eastAsia="仿宋_GB2312"/>
          <w:sz w:val="24"/>
        </w:rPr>
        <w:t>本招标工程项目采用本须知前附表所述的资格审查方式确定合格投标人。</w:t>
      </w:r>
    </w:p>
    <w:p>
      <w:pPr>
        <w:adjustRightInd w:val="0"/>
        <w:snapToGrid w:val="0"/>
        <w:spacing w:beforeLines="20" w:afterLines="20" w:line="360" w:lineRule="exact"/>
        <w:ind w:firstLine="480"/>
        <w:rPr>
          <w:rFonts w:ascii="仿宋_GB2312" w:eastAsia="仿宋_GB2312"/>
          <w:sz w:val="24"/>
        </w:rPr>
      </w:pPr>
      <w:r>
        <w:rPr>
          <w:rFonts w:hint="eastAsia" w:ascii="黑体" w:hAnsi="宋体" w:eastAsia="黑体"/>
          <w:sz w:val="24"/>
        </w:rPr>
        <w:t>4.4</w:t>
      </w:r>
      <w:r>
        <w:rPr>
          <w:rFonts w:hint="eastAsia" w:ascii="仿宋_GB2312" w:hAnsi="宋体" w:eastAsia="仿宋_GB2312"/>
          <w:sz w:val="24"/>
        </w:rPr>
        <w:t>根据本工程的特点，投标人必须认真阅读招标文件内容，按照招标文件要求编写投标文件，其内容必须详实；若涉及与资格审查申请书相应的内容应保持一致，没有涉及到的内容以资格审查申请书为准。如果投标人认为有必要，可结合所编制的工程量清单报价书提供相应技术说明。</w:t>
      </w:r>
    </w:p>
    <w:p>
      <w:pPr>
        <w:pStyle w:val="26"/>
        <w:spacing w:line="360" w:lineRule="exact"/>
        <w:rPr>
          <w:rFonts w:ascii="仿宋_GB2312" w:eastAsia="仿宋_GB2312"/>
          <w:sz w:val="24"/>
          <w:szCs w:val="24"/>
        </w:rPr>
      </w:pPr>
      <w:r>
        <w:rPr>
          <w:rFonts w:hint="eastAsia" w:ascii="仿宋_GB2312" w:hAnsi="Times New Roman" w:eastAsia="仿宋_GB2312"/>
          <w:sz w:val="24"/>
          <w:szCs w:val="24"/>
        </w:rPr>
        <w:t>5</w:t>
      </w:r>
      <w:r>
        <w:rPr>
          <w:rFonts w:hint="eastAsia" w:ascii="仿宋_GB2312" w:eastAsia="仿宋_GB2312"/>
          <w:sz w:val="24"/>
          <w:szCs w:val="24"/>
        </w:rPr>
        <w:t>、踏勘现场：</w:t>
      </w:r>
    </w:p>
    <w:p>
      <w:pPr>
        <w:adjustRightInd w:val="0"/>
        <w:snapToGrid w:val="0"/>
        <w:spacing w:beforeLines="20" w:afterLines="20" w:line="360" w:lineRule="exact"/>
        <w:ind w:firstLine="480" w:firstLineChars="200"/>
        <w:rPr>
          <w:rFonts w:ascii="仿宋_GB2312" w:eastAsia="仿宋_GB2312"/>
          <w:sz w:val="24"/>
        </w:rPr>
      </w:pPr>
      <w:r>
        <w:rPr>
          <w:rFonts w:hint="eastAsia" w:ascii="仿宋_GB2312" w:eastAsia="仿宋_GB2312"/>
          <w:sz w:val="24"/>
        </w:rPr>
        <w:t>投标人应按照招标文件所述，自行对工程现场及周围环境进行踏勘现场以获得有关编制投标文件和签署合同所涉及现场的资料。踏勘现场所发生的自身费用由投标人自己承担。经招标人允许，投标人可为踏勘目的进入招标人的项目现场，但投标人不得因此使招标人承担有关的责任和蒙受损失。投标人应承担踏勘现场的责任和风险。</w:t>
      </w:r>
    </w:p>
    <w:p>
      <w:pPr>
        <w:pStyle w:val="26"/>
        <w:spacing w:line="360" w:lineRule="exact"/>
        <w:rPr>
          <w:rFonts w:ascii="仿宋_GB2312" w:eastAsia="仿宋_GB2312"/>
          <w:sz w:val="24"/>
          <w:szCs w:val="24"/>
        </w:rPr>
      </w:pPr>
      <w:r>
        <w:rPr>
          <w:rFonts w:hint="eastAsia" w:ascii="仿宋_GB2312" w:eastAsia="仿宋_GB2312"/>
          <w:sz w:val="24"/>
          <w:szCs w:val="24"/>
        </w:rPr>
        <w:t>6、招标人向投标人提供的所有数据和资料</w:t>
      </w:r>
      <w:r>
        <w:rPr>
          <w:rFonts w:hint="eastAsia" w:ascii="仿宋_GB2312" w:eastAsia="仿宋_GB2312"/>
          <w:b/>
          <w:sz w:val="24"/>
          <w:szCs w:val="24"/>
        </w:rPr>
        <w:t>，</w:t>
      </w:r>
      <w:r>
        <w:rPr>
          <w:rFonts w:hint="eastAsia" w:ascii="仿宋_GB2312" w:eastAsia="仿宋_GB2312"/>
          <w:sz w:val="24"/>
          <w:szCs w:val="24"/>
        </w:rPr>
        <w:t>是招标人现有的能被投标人利用的资料，招标人对投标人做出的任何推论、理解和结论均不负责任。</w:t>
      </w:r>
    </w:p>
    <w:p>
      <w:pPr>
        <w:pStyle w:val="26"/>
        <w:spacing w:line="360" w:lineRule="exact"/>
        <w:rPr>
          <w:rFonts w:ascii="仿宋_GB2312" w:eastAsia="仿宋_GB2312"/>
          <w:sz w:val="24"/>
          <w:szCs w:val="24"/>
        </w:rPr>
      </w:pPr>
      <w:r>
        <w:rPr>
          <w:rFonts w:hint="eastAsia" w:ascii="仿宋_GB2312" w:eastAsia="仿宋_GB2312"/>
          <w:sz w:val="24"/>
          <w:szCs w:val="24"/>
        </w:rPr>
        <w:t>7、投标费用</w:t>
      </w:r>
    </w:p>
    <w:p>
      <w:pPr>
        <w:pStyle w:val="26"/>
        <w:spacing w:line="360" w:lineRule="exact"/>
        <w:ind w:firstLine="480" w:firstLineChars="200"/>
        <w:rPr>
          <w:rFonts w:ascii="仿宋_GB2312" w:eastAsia="仿宋_GB2312"/>
          <w:sz w:val="24"/>
          <w:szCs w:val="24"/>
        </w:rPr>
      </w:pPr>
      <w:r>
        <w:rPr>
          <w:rFonts w:hint="eastAsia" w:ascii="仿宋_GB2312" w:hAnsi="宋体" w:eastAsia="仿宋_GB2312"/>
          <w:sz w:val="24"/>
          <w:szCs w:val="24"/>
        </w:rPr>
        <w:t>投标人应承担其编制投标文件与递交投标文件等投标过程中所涉及的一切费用，不论投标结果如何，招标人将不予承担。</w:t>
      </w:r>
    </w:p>
    <w:p>
      <w:pPr>
        <w:pStyle w:val="3"/>
        <w:spacing w:line="360" w:lineRule="exact"/>
        <w:rPr>
          <w:rFonts w:ascii="仿宋_GB2312" w:hAnsi="宋体" w:eastAsia="仿宋_GB2312"/>
          <w:sz w:val="32"/>
          <w:szCs w:val="32"/>
        </w:rPr>
      </w:pPr>
      <w:bookmarkStart w:id="10" w:name="_Toc208106831"/>
      <w:r>
        <w:rPr>
          <w:rFonts w:hint="eastAsia" w:ascii="仿宋_GB2312" w:hAnsi="宋体" w:eastAsia="仿宋_GB2312"/>
          <w:sz w:val="32"/>
          <w:szCs w:val="32"/>
        </w:rPr>
        <w:t>（三） 招标文件</w:t>
      </w:r>
      <w:bookmarkEnd w:id="10"/>
    </w:p>
    <w:p>
      <w:pPr>
        <w:pStyle w:val="26"/>
        <w:spacing w:line="360" w:lineRule="exact"/>
        <w:rPr>
          <w:rFonts w:ascii="仿宋_GB2312" w:eastAsia="仿宋_GB2312"/>
          <w:sz w:val="24"/>
          <w:szCs w:val="24"/>
        </w:rPr>
      </w:pPr>
      <w:r>
        <w:rPr>
          <w:rFonts w:hint="eastAsia" w:ascii="仿宋_GB2312" w:eastAsia="仿宋_GB2312"/>
          <w:sz w:val="24"/>
          <w:szCs w:val="24"/>
        </w:rPr>
        <w:t>8、招标文件的组成</w:t>
      </w:r>
    </w:p>
    <w:p>
      <w:pPr>
        <w:pStyle w:val="26"/>
        <w:spacing w:line="360" w:lineRule="exact"/>
        <w:rPr>
          <w:rFonts w:ascii="仿宋_GB2312" w:eastAsia="仿宋_GB2312"/>
          <w:sz w:val="24"/>
          <w:szCs w:val="24"/>
        </w:rPr>
      </w:pPr>
      <w:r>
        <w:rPr>
          <w:rFonts w:hint="eastAsia" w:ascii="仿宋_GB2312" w:eastAsia="仿宋_GB2312"/>
          <w:sz w:val="24"/>
          <w:szCs w:val="24"/>
        </w:rPr>
        <w:t>8.1</w:t>
      </w:r>
      <w:r>
        <w:rPr>
          <w:rFonts w:hint="eastAsia" w:ascii="仿宋_GB2312" w:hAnsi="宋体" w:eastAsia="仿宋_GB2312"/>
          <w:sz w:val="24"/>
          <w:szCs w:val="24"/>
        </w:rPr>
        <w:t>招标文件包括下列内容：</w:t>
      </w:r>
    </w:p>
    <w:p>
      <w:pPr>
        <w:pStyle w:val="26"/>
        <w:spacing w:line="360" w:lineRule="exact"/>
        <w:rPr>
          <w:rFonts w:ascii="仿宋_GB2312" w:eastAsia="仿宋_GB2312"/>
          <w:sz w:val="24"/>
          <w:szCs w:val="24"/>
        </w:rPr>
      </w:pPr>
      <w:r>
        <w:rPr>
          <w:rFonts w:hint="eastAsia" w:ascii="仿宋_GB2312" w:eastAsia="仿宋_GB2312"/>
          <w:sz w:val="24"/>
          <w:szCs w:val="24"/>
        </w:rPr>
        <w:t>8.1.1</w:t>
      </w:r>
      <w:r>
        <w:rPr>
          <w:rFonts w:hint="eastAsia" w:ascii="仿宋_GB2312" w:hAnsi="宋体" w:eastAsia="仿宋_GB2312"/>
          <w:sz w:val="24"/>
          <w:szCs w:val="24"/>
        </w:rPr>
        <w:t>本招标文件的全部内容；</w:t>
      </w:r>
    </w:p>
    <w:p>
      <w:pPr>
        <w:pStyle w:val="26"/>
        <w:spacing w:line="360" w:lineRule="exact"/>
        <w:rPr>
          <w:rFonts w:ascii="仿宋_GB2312" w:eastAsia="仿宋_GB2312"/>
          <w:sz w:val="24"/>
          <w:szCs w:val="24"/>
        </w:rPr>
      </w:pPr>
      <w:r>
        <w:rPr>
          <w:rFonts w:hint="eastAsia" w:ascii="仿宋_GB2312" w:eastAsia="仿宋_GB2312"/>
          <w:sz w:val="24"/>
          <w:szCs w:val="24"/>
        </w:rPr>
        <w:t>8.1.2</w:t>
      </w:r>
      <w:r>
        <w:rPr>
          <w:rFonts w:hint="eastAsia" w:ascii="仿宋_GB2312" w:hAnsi="宋体" w:eastAsia="仿宋_GB2312"/>
          <w:sz w:val="24"/>
          <w:szCs w:val="24"/>
        </w:rPr>
        <w:t>本工程投标预备会（或答疑会）所有发生的会议记要、答疑文件及书面通知。</w:t>
      </w:r>
    </w:p>
    <w:p>
      <w:pPr>
        <w:pStyle w:val="26"/>
        <w:spacing w:line="360" w:lineRule="exact"/>
        <w:rPr>
          <w:rFonts w:ascii="仿宋_GB2312" w:eastAsia="仿宋_GB2312"/>
          <w:sz w:val="24"/>
          <w:szCs w:val="24"/>
        </w:rPr>
      </w:pPr>
      <w:r>
        <w:rPr>
          <w:rFonts w:hint="eastAsia" w:ascii="仿宋_GB2312" w:eastAsia="仿宋_GB2312"/>
          <w:sz w:val="24"/>
          <w:szCs w:val="24"/>
        </w:rPr>
        <w:t>8.2本工程资格审查文件也为招标文件的组成部分。</w:t>
      </w:r>
    </w:p>
    <w:p>
      <w:pPr>
        <w:pStyle w:val="26"/>
        <w:spacing w:line="360" w:lineRule="exact"/>
        <w:rPr>
          <w:rFonts w:ascii="仿宋_GB2312" w:eastAsia="仿宋_GB2312"/>
          <w:sz w:val="24"/>
          <w:szCs w:val="24"/>
        </w:rPr>
      </w:pPr>
      <w:r>
        <w:rPr>
          <w:rFonts w:hint="eastAsia" w:ascii="仿宋_GB2312" w:eastAsia="仿宋_GB2312"/>
          <w:sz w:val="24"/>
          <w:szCs w:val="24"/>
        </w:rPr>
        <w:t>8.3 投标人获取招标文件后，应仔细检查招标文件的所有内容，如有残缺等问题应在获</w:t>
      </w:r>
      <w:r>
        <w:rPr>
          <w:rFonts w:hint="eastAsia" w:ascii="仿宋_GB2312" w:hAnsi="宋体" w:eastAsia="仿宋_GB2312"/>
          <w:sz w:val="24"/>
          <w:szCs w:val="24"/>
        </w:rPr>
        <w:t>得招标文件</w:t>
      </w:r>
      <w:r>
        <w:rPr>
          <w:rFonts w:hint="eastAsia" w:ascii="仿宋_GB2312" w:eastAsia="仿宋_GB2312"/>
          <w:sz w:val="24"/>
          <w:szCs w:val="24"/>
        </w:rPr>
        <w:t>3</w:t>
      </w:r>
      <w:r>
        <w:rPr>
          <w:rFonts w:hint="eastAsia" w:ascii="仿宋_GB2312" w:hAnsi="宋体" w:eastAsia="仿宋_GB2312"/>
          <w:sz w:val="24"/>
          <w:szCs w:val="24"/>
        </w:rPr>
        <w:t>日内向招标人提出，否则，由此引起的损失由投标人自己承担。投标人同时应认真审阅招标文件中所有的事项、格式、条款和规范要求等，若投标人的投标文件没有按招标文件要求提交全部资料及自己理解产生的误差，或投标文件没有对招标文件做出实质性响应，其风险由投标人自行承担，并根据有关条款规定，该投标有可能被拒绝。</w:t>
      </w:r>
    </w:p>
    <w:p>
      <w:pPr>
        <w:pStyle w:val="26"/>
        <w:spacing w:line="360" w:lineRule="exact"/>
        <w:rPr>
          <w:rFonts w:ascii="仿宋_GB2312" w:eastAsia="仿宋_GB2312"/>
          <w:sz w:val="24"/>
          <w:szCs w:val="24"/>
        </w:rPr>
      </w:pPr>
      <w:r>
        <w:rPr>
          <w:rFonts w:hint="eastAsia" w:ascii="仿宋_GB2312" w:eastAsia="仿宋_GB2312"/>
          <w:sz w:val="24"/>
          <w:szCs w:val="24"/>
        </w:rPr>
        <w:t>9、招标文件的澄清</w:t>
      </w:r>
    </w:p>
    <w:p>
      <w:pPr>
        <w:pStyle w:val="26"/>
        <w:spacing w:line="360" w:lineRule="exact"/>
        <w:ind w:firstLine="480" w:firstLineChars="200"/>
        <w:rPr>
          <w:rFonts w:ascii="仿宋_GB2312" w:eastAsia="仿宋_GB2312"/>
          <w:sz w:val="24"/>
          <w:szCs w:val="24"/>
        </w:rPr>
      </w:pPr>
      <w:r>
        <w:rPr>
          <w:rFonts w:hint="eastAsia" w:ascii="仿宋_GB2312" w:hAnsi="宋体" w:eastAsia="仿宋_GB2312"/>
          <w:sz w:val="24"/>
          <w:szCs w:val="24"/>
        </w:rPr>
        <w:t>投标人若对招标文件有任何疑问，应按招标文件时间安排表中规定的时间向招标人提出澄清要求。无论是招标人根据需要主动对招标文件进行必要的澄清，或是根据投标人的要求对招标文件做出澄清，招标人都将按招标文件时间安排表中规定的时间以书面</w:t>
      </w:r>
      <w:r>
        <w:rPr>
          <w:rFonts w:hint="eastAsia" w:ascii="仿宋_GB2312" w:hAnsi="宋体" w:eastAsia="仿宋_GB2312"/>
          <w:sz w:val="24"/>
        </w:rPr>
        <w:t>（纸质或电子版）</w:t>
      </w:r>
      <w:r>
        <w:rPr>
          <w:rFonts w:hint="eastAsia" w:ascii="仿宋_GB2312" w:hAnsi="宋体" w:eastAsia="仿宋_GB2312"/>
          <w:sz w:val="24"/>
          <w:szCs w:val="24"/>
        </w:rPr>
        <w:t>形式予以澄清，同时将书面澄清文件向所有投标人发送。该澄清作为招标文件的组成部分，具有约束作用。</w:t>
      </w:r>
    </w:p>
    <w:p>
      <w:pPr>
        <w:pStyle w:val="26"/>
        <w:spacing w:line="360" w:lineRule="exact"/>
        <w:rPr>
          <w:rFonts w:ascii="仿宋_GB2312" w:eastAsia="仿宋_GB2312"/>
          <w:sz w:val="24"/>
          <w:szCs w:val="24"/>
        </w:rPr>
      </w:pPr>
      <w:r>
        <w:rPr>
          <w:rFonts w:hint="eastAsia" w:ascii="仿宋_GB2312" w:eastAsia="仿宋_GB2312"/>
          <w:sz w:val="24"/>
          <w:szCs w:val="24"/>
        </w:rPr>
        <w:t>10、招标文件的修改</w:t>
      </w:r>
    </w:p>
    <w:p>
      <w:pPr>
        <w:adjustRightInd w:val="0"/>
        <w:snapToGrid w:val="0"/>
        <w:spacing w:beforeLines="20" w:afterLines="20" w:line="360" w:lineRule="exact"/>
        <w:ind w:firstLine="532"/>
        <w:rPr>
          <w:rFonts w:ascii="仿宋_GB2312" w:eastAsia="仿宋_GB2312"/>
          <w:sz w:val="24"/>
        </w:rPr>
      </w:pPr>
      <w:r>
        <w:rPr>
          <w:rFonts w:hint="eastAsia" w:ascii="仿宋_GB2312" w:eastAsia="仿宋_GB2312"/>
          <w:sz w:val="24"/>
        </w:rPr>
        <w:t xml:space="preserve">10.1 </w:t>
      </w:r>
      <w:r>
        <w:rPr>
          <w:rFonts w:hint="eastAsia" w:ascii="仿宋_GB2312" w:hAnsi="宋体" w:eastAsia="仿宋_GB2312"/>
          <w:sz w:val="24"/>
        </w:rPr>
        <w:t>招标文件发出后，在招标文件时间安排表中规定的时间，招标人可对招标文件进行必要的修改。</w:t>
      </w:r>
    </w:p>
    <w:p>
      <w:pPr>
        <w:adjustRightInd w:val="0"/>
        <w:snapToGrid w:val="0"/>
        <w:spacing w:beforeLines="20" w:afterLines="20" w:line="360" w:lineRule="exact"/>
        <w:ind w:firstLine="532"/>
        <w:rPr>
          <w:rFonts w:ascii="仿宋_GB2312" w:eastAsia="仿宋_GB2312"/>
          <w:b/>
          <w:sz w:val="24"/>
        </w:rPr>
      </w:pPr>
      <w:r>
        <w:rPr>
          <w:rFonts w:hint="eastAsia" w:ascii="仿宋_GB2312" w:eastAsia="仿宋_GB2312"/>
          <w:sz w:val="24"/>
        </w:rPr>
        <w:t xml:space="preserve">10.2 </w:t>
      </w:r>
      <w:r>
        <w:rPr>
          <w:rFonts w:hint="eastAsia" w:ascii="仿宋_GB2312" w:hAnsi="宋体" w:eastAsia="仿宋_GB2312"/>
          <w:sz w:val="24"/>
        </w:rPr>
        <w:t>招标文件的修改将以书面（纸质或电子版）形式发送给所有投标人。招标文件的修改内容作为招标文件的组成部分，具有约束作用。</w:t>
      </w:r>
    </w:p>
    <w:p>
      <w:pPr>
        <w:adjustRightInd w:val="0"/>
        <w:snapToGrid w:val="0"/>
        <w:spacing w:beforeLines="20" w:afterLines="20" w:line="360" w:lineRule="exact"/>
        <w:ind w:firstLine="533"/>
        <w:rPr>
          <w:rFonts w:ascii="仿宋_GB2312" w:eastAsia="仿宋_GB2312"/>
          <w:sz w:val="24"/>
        </w:rPr>
      </w:pPr>
      <w:r>
        <w:rPr>
          <w:rFonts w:hint="eastAsia" w:ascii="仿宋_GB2312" w:eastAsia="仿宋_GB2312"/>
          <w:sz w:val="24"/>
        </w:rPr>
        <w:t xml:space="preserve">10.3 </w:t>
      </w:r>
      <w:r>
        <w:rPr>
          <w:rFonts w:hint="eastAsia" w:ascii="仿宋_GB2312" w:hAnsi="宋体" w:eastAsia="仿宋_GB2312"/>
          <w:sz w:val="24"/>
        </w:rPr>
        <w:t>招标文件的澄清、修改、补充等内容均以书面（纸质或电子版）形式明确的内容为准。当招标文件、招标文件的澄清、修改、补充等在同一内容的表述上不一致时，以最后发出的书面文件为准。</w:t>
      </w:r>
    </w:p>
    <w:p>
      <w:pPr>
        <w:adjustRightInd w:val="0"/>
        <w:snapToGrid w:val="0"/>
        <w:spacing w:beforeLines="20" w:afterLines="20" w:line="360" w:lineRule="exact"/>
        <w:ind w:firstLine="533"/>
        <w:rPr>
          <w:rFonts w:ascii="仿宋_GB2312" w:eastAsia="仿宋_GB2312"/>
          <w:sz w:val="24"/>
        </w:rPr>
      </w:pPr>
      <w:r>
        <w:rPr>
          <w:rFonts w:hint="eastAsia" w:ascii="仿宋_GB2312" w:eastAsia="仿宋_GB2312"/>
          <w:sz w:val="24"/>
        </w:rPr>
        <w:t>10.4</w:t>
      </w:r>
      <w:r>
        <w:rPr>
          <w:rFonts w:hint="eastAsia" w:ascii="仿宋_GB2312" w:hAnsi="宋体" w:eastAsia="仿宋_GB2312"/>
          <w:sz w:val="24"/>
        </w:rPr>
        <w:t>为使投标人在编制投标文件时有充分的时间对招标文件的澄清、修改、补充等内容进行研究，招标人将酌情延长提交投标文件的截止时间，具体时间将在招标文件的修改、补充通知中予以明确并通知给所有投标人。</w:t>
      </w:r>
    </w:p>
    <w:p>
      <w:pPr>
        <w:adjustRightInd w:val="0"/>
        <w:snapToGrid w:val="0"/>
        <w:spacing w:beforeLines="20" w:afterLines="20" w:line="360" w:lineRule="exact"/>
        <w:ind w:firstLine="533"/>
        <w:rPr>
          <w:rFonts w:ascii="仿宋_GB2312" w:hAnsi="宋体" w:eastAsia="仿宋_GB2312"/>
          <w:bCs/>
          <w:sz w:val="24"/>
        </w:rPr>
      </w:pPr>
      <w:r>
        <w:rPr>
          <w:rFonts w:hint="eastAsia" w:ascii="仿宋_GB2312" w:eastAsia="仿宋_GB2312"/>
          <w:bCs/>
          <w:sz w:val="24"/>
        </w:rPr>
        <w:t>10.5</w:t>
      </w:r>
      <w:r>
        <w:rPr>
          <w:rFonts w:hint="eastAsia" w:ascii="仿宋_GB2312" w:hAnsi="宋体" w:eastAsia="仿宋_GB2312"/>
          <w:bCs/>
          <w:sz w:val="24"/>
        </w:rPr>
        <w:t>如果投标人在答疑截止前未对招标文件有关条款提出质疑，视为充分理解招标文件所有内容，一旦递交投标文件，则认为该投标人接受招标文件所有条款。</w:t>
      </w:r>
    </w:p>
    <w:p>
      <w:pPr>
        <w:adjustRightInd w:val="0"/>
        <w:snapToGrid w:val="0"/>
        <w:spacing w:beforeLines="20" w:afterLines="20" w:line="360" w:lineRule="exact"/>
        <w:ind w:firstLine="532"/>
        <w:rPr>
          <w:rFonts w:ascii="仿宋_GB2312" w:eastAsia="仿宋_GB2312"/>
          <w:bCs/>
          <w:sz w:val="24"/>
        </w:rPr>
      </w:pPr>
      <w:r>
        <w:rPr>
          <w:rFonts w:hint="eastAsia" w:ascii="仿宋_GB2312" w:eastAsia="仿宋_GB2312"/>
          <w:bCs/>
          <w:sz w:val="24"/>
        </w:rPr>
        <w:t>10.6</w:t>
      </w:r>
      <w:r>
        <w:rPr>
          <w:rFonts w:hint="eastAsia" w:ascii="仿宋_GB2312" w:hAnsi="宋体" w:eastAsia="仿宋_GB2312"/>
          <w:bCs/>
          <w:sz w:val="24"/>
        </w:rPr>
        <w:t>招标人对投标人提出的问题将以书面（</w:t>
      </w:r>
      <w:r>
        <w:rPr>
          <w:rFonts w:hint="eastAsia" w:ascii="仿宋_GB2312" w:hAnsi="宋体" w:eastAsia="仿宋_GB2312"/>
          <w:sz w:val="24"/>
        </w:rPr>
        <w:t>纸质或电子版</w:t>
      </w:r>
      <w:r>
        <w:rPr>
          <w:rFonts w:hint="eastAsia" w:ascii="仿宋_GB2312" w:hAnsi="宋体" w:eastAsia="仿宋_GB2312"/>
          <w:bCs/>
          <w:sz w:val="24"/>
        </w:rPr>
        <w:t>）</w:t>
      </w:r>
      <w:r>
        <w:rPr>
          <w:rFonts w:hint="eastAsia" w:ascii="仿宋_GB2312" w:hAnsi="宋体" w:eastAsia="仿宋_GB2312"/>
          <w:sz w:val="24"/>
        </w:rPr>
        <w:t>答疑</w:t>
      </w:r>
      <w:r>
        <w:rPr>
          <w:rFonts w:hint="eastAsia" w:ascii="仿宋_GB2312" w:hAnsi="宋体" w:eastAsia="仿宋_GB2312"/>
          <w:bCs/>
          <w:sz w:val="24"/>
        </w:rPr>
        <w:t>纪要的方式予以答复，答复仅包括对问题的解释，但不说明问题的来源。</w:t>
      </w:r>
    </w:p>
    <w:p>
      <w:pPr>
        <w:adjustRightInd w:val="0"/>
        <w:snapToGrid w:val="0"/>
        <w:spacing w:beforeLines="20" w:afterLines="20" w:line="360" w:lineRule="exact"/>
        <w:ind w:firstLine="532"/>
        <w:rPr>
          <w:rFonts w:ascii="仿宋_GB2312" w:hAnsi="宋体" w:eastAsia="仿宋_GB2312"/>
          <w:bCs/>
          <w:sz w:val="24"/>
        </w:rPr>
      </w:pPr>
      <w:r>
        <w:rPr>
          <w:rFonts w:hint="eastAsia" w:ascii="仿宋_GB2312" w:eastAsia="仿宋_GB2312"/>
          <w:bCs/>
          <w:sz w:val="24"/>
        </w:rPr>
        <w:t>10.7</w:t>
      </w:r>
      <w:r>
        <w:rPr>
          <w:rFonts w:hint="eastAsia" w:ascii="仿宋_GB2312" w:hAnsi="宋体" w:eastAsia="仿宋_GB2312"/>
          <w:bCs/>
          <w:sz w:val="24"/>
        </w:rPr>
        <w:t>书面答复、补充通知或答疑纪要将按招标文件时间安排表中规定的时间内予以发布，书面答复或</w:t>
      </w:r>
      <w:r>
        <w:rPr>
          <w:rFonts w:hint="eastAsia" w:ascii="仿宋_GB2312" w:hAnsi="宋体" w:eastAsia="仿宋_GB2312"/>
          <w:sz w:val="24"/>
        </w:rPr>
        <w:t>答疑</w:t>
      </w:r>
      <w:r>
        <w:rPr>
          <w:rFonts w:hint="eastAsia" w:ascii="仿宋_GB2312" w:hAnsi="宋体" w:eastAsia="仿宋_GB2312"/>
          <w:bCs/>
          <w:sz w:val="24"/>
        </w:rPr>
        <w:t>纪要作为招标文件的组成部分，具有约束作用。</w:t>
      </w:r>
    </w:p>
    <w:p>
      <w:pPr>
        <w:pStyle w:val="3"/>
        <w:spacing w:line="360" w:lineRule="exact"/>
        <w:rPr>
          <w:rFonts w:ascii="仿宋_GB2312" w:hAnsi="宋体" w:eastAsia="仿宋_GB2312"/>
          <w:sz w:val="32"/>
          <w:szCs w:val="32"/>
        </w:rPr>
      </w:pPr>
      <w:bookmarkStart w:id="11" w:name="_Toc208106832"/>
      <w:r>
        <w:rPr>
          <w:rFonts w:hint="eastAsia" w:ascii="仿宋_GB2312" w:hAnsi="宋体" w:eastAsia="仿宋_GB2312"/>
          <w:sz w:val="32"/>
          <w:szCs w:val="32"/>
        </w:rPr>
        <w:t>（四）投标文件的编制</w:t>
      </w:r>
      <w:bookmarkEnd w:id="11"/>
    </w:p>
    <w:p>
      <w:pPr>
        <w:pStyle w:val="35"/>
        <w:spacing w:before="48" w:after="48" w:line="360" w:lineRule="exact"/>
        <w:ind w:left="0"/>
        <w:rPr>
          <w:rFonts w:ascii="仿宋_GB2312" w:eastAsia="仿宋_GB2312"/>
        </w:rPr>
      </w:pPr>
      <w:r>
        <w:rPr>
          <w:rFonts w:hint="eastAsia" w:ascii="仿宋_GB2312" w:eastAsia="仿宋_GB2312"/>
        </w:rPr>
        <w:t>11、投标文件的语言及度量衡单位</w:t>
      </w:r>
    </w:p>
    <w:p>
      <w:pPr>
        <w:adjustRightInd w:val="0"/>
        <w:snapToGrid w:val="0"/>
        <w:spacing w:beforeLines="20" w:afterLines="20" w:line="360" w:lineRule="exact"/>
        <w:rPr>
          <w:rFonts w:ascii="仿宋_GB2312" w:eastAsia="仿宋_GB2312"/>
          <w:sz w:val="24"/>
        </w:rPr>
      </w:pPr>
      <w:r>
        <w:rPr>
          <w:rFonts w:hint="eastAsia" w:ascii="仿宋_GB2312" w:eastAsia="仿宋_GB2312"/>
          <w:sz w:val="24"/>
        </w:rPr>
        <w:t>11.1</w:t>
      </w:r>
      <w:r>
        <w:rPr>
          <w:rFonts w:hint="eastAsia" w:ascii="仿宋_GB2312" w:hAnsi="宋体" w:eastAsia="仿宋_GB2312"/>
          <w:sz w:val="24"/>
        </w:rPr>
        <w:t>投标文件和与投标有关的所有文件均应使用</w:t>
      </w:r>
      <w:r>
        <w:rPr>
          <w:rFonts w:hint="eastAsia" w:ascii="仿宋_GB2312" w:hAnsi="宋体" w:eastAsia="仿宋_GB2312"/>
          <w:sz w:val="24"/>
          <w:u w:val="single"/>
        </w:rPr>
        <w:t>中文</w:t>
      </w:r>
      <w:r>
        <w:rPr>
          <w:rFonts w:hint="eastAsia" w:ascii="仿宋_GB2312" w:eastAsia="仿宋_GB2312"/>
          <w:sz w:val="24"/>
        </w:rPr>
        <w:t>(</w:t>
      </w:r>
      <w:r>
        <w:rPr>
          <w:rFonts w:hint="eastAsia" w:ascii="仿宋_GB2312" w:hAnsi="宋体" w:eastAsia="仿宋_GB2312"/>
          <w:sz w:val="24"/>
        </w:rPr>
        <w:t>语言文字</w:t>
      </w:r>
      <w:r>
        <w:rPr>
          <w:rFonts w:hint="eastAsia" w:ascii="仿宋_GB2312" w:eastAsia="仿宋_GB2312"/>
          <w:sz w:val="24"/>
        </w:rPr>
        <w:t>)</w:t>
      </w:r>
      <w:r>
        <w:rPr>
          <w:rFonts w:hint="eastAsia" w:ascii="仿宋_GB2312" w:hAnsi="宋体" w:eastAsia="仿宋_GB2312"/>
          <w:sz w:val="24"/>
        </w:rPr>
        <w:t>。投标人随投标文件提供的证明文件和印刷品可以是其它语言，但必须附</w:t>
      </w:r>
      <w:r>
        <w:rPr>
          <w:rFonts w:hint="eastAsia" w:ascii="仿宋_GB2312" w:hAnsi="宋体" w:eastAsia="仿宋_GB2312"/>
          <w:bCs/>
          <w:sz w:val="24"/>
          <w:lang w:val="zh-CN"/>
        </w:rPr>
        <w:t>有经权威翻译机构核准的</w:t>
      </w:r>
      <w:r>
        <w:rPr>
          <w:rFonts w:hint="eastAsia" w:ascii="仿宋_GB2312" w:hAnsi="宋体" w:eastAsia="仿宋_GB2312"/>
          <w:sz w:val="24"/>
        </w:rPr>
        <w:t>中文译文。</w:t>
      </w:r>
    </w:p>
    <w:p>
      <w:pPr>
        <w:adjustRightInd w:val="0"/>
        <w:snapToGrid w:val="0"/>
        <w:spacing w:beforeLines="20" w:afterLines="20" w:line="360" w:lineRule="exact"/>
        <w:rPr>
          <w:rFonts w:ascii="仿宋_GB2312" w:eastAsia="仿宋_GB2312"/>
          <w:sz w:val="24"/>
        </w:rPr>
      </w:pPr>
      <w:r>
        <w:rPr>
          <w:rFonts w:hint="eastAsia" w:ascii="仿宋_GB2312" w:eastAsia="仿宋_GB2312"/>
          <w:sz w:val="24"/>
        </w:rPr>
        <w:t>11.2</w:t>
      </w:r>
      <w:r>
        <w:rPr>
          <w:rFonts w:hint="eastAsia" w:ascii="仿宋_GB2312" w:hAnsi="宋体" w:eastAsia="仿宋_GB2312"/>
          <w:sz w:val="24"/>
        </w:rPr>
        <w:t>除工程规范另有规定外，投标文件使用的度量衡单位，均采用中华人民共和国法定计量单位。</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12、投标文件的组成</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12.1 投标文件由商务标投标文件、技术标投标文件两部分组成。</w:t>
      </w:r>
    </w:p>
    <w:p>
      <w:pPr>
        <w:pStyle w:val="26"/>
        <w:spacing w:line="360" w:lineRule="exact"/>
        <w:rPr>
          <w:rFonts w:ascii="仿宋_GB2312" w:hAnsi="宋体" w:eastAsia="仿宋_GB2312"/>
          <w:sz w:val="24"/>
          <w:szCs w:val="24"/>
        </w:rPr>
      </w:pPr>
      <w:permStart w:id="78" w:edGrp="everyone"/>
      <w:r>
        <w:rPr>
          <w:rFonts w:ascii="仿宋_GB2312" w:hAnsi="宋体" w:eastAsia="仿宋_GB2312"/>
          <w:sz w:val="24"/>
          <w:szCs w:val="24"/>
        </w:rPr>
        <w:t>12.2为方便电子评标，</w:t>
      </w:r>
      <w:r>
        <w:rPr>
          <w:rFonts w:hint="eastAsia" w:ascii="仿宋_GB2312" w:hAnsi="宋体" w:eastAsia="仿宋_GB2312"/>
          <w:sz w:val="24"/>
          <w:szCs w:val="24"/>
        </w:rPr>
        <w:t>投标文件</w:t>
      </w:r>
      <w:r>
        <w:rPr>
          <w:rFonts w:ascii="仿宋_GB2312" w:hAnsi="宋体" w:eastAsia="仿宋_GB2312"/>
          <w:sz w:val="24"/>
          <w:szCs w:val="24"/>
        </w:rPr>
        <w:t>必须</w:t>
      </w:r>
      <w:r>
        <w:rPr>
          <w:rFonts w:hint="eastAsia" w:ascii="仿宋_GB2312" w:hAnsi="宋体" w:eastAsia="仿宋_GB2312"/>
          <w:sz w:val="24"/>
          <w:szCs w:val="24"/>
        </w:rPr>
        <w:t>含有</w:t>
      </w:r>
      <w:r>
        <w:rPr>
          <w:rFonts w:ascii="仿宋_GB2312" w:hAnsi="宋体" w:eastAsia="仿宋_GB2312"/>
          <w:sz w:val="24"/>
          <w:szCs w:val="24"/>
        </w:rPr>
        <w:t>不可更改的电子清单计价文件，采用</w:t>
      </w:r>
      <w:r>
        <w:rPr>
          <w:rFonts w:hint="eastAsia" w:ascii="仿宋_GB2312" w:hAnsi="宋体" w:eastAsia="仿宋_GB2312"/>
          <w:sz w:val="24"/>
          <w:szCs w:val="24"/>
        </w:rPr>
        <w:t>GLTB</w:t>
      </w:r>
      <w:r>
        <w:rPr>
          <w:rFonts w:ascii="仿宋_GB2312" w:hAnsi="宋体" w:eastAsia="仿宋_GB2312"/>
          <w:sz w:val="24"/>
          <w:szCs w:val="24"/>
        </w:rPr>
        <w:t>格式。</w:t>
      </w:r>
      <w:r>
        <w:rPr>
          <w:rFonts w:hint="eastAsia" w:ascii="仿宋_GB2312" w:hAnsi="宋体" w:eastAsia="仿宋_GB2312"/>
          <w:sz w:val="24"/>
          <w:szCs w:val="24"/>
        </w:rPr>
        <w:t>（备注：该条款仅适用于采用全费用综合单价方式计价，电子招投标项目）</w:t>
      </w:r>
    </w:p>
    <w:p>
      <w:pPr>
        <w:pStyle w:val="26"/>
        <w:spacing w:line="360" w:lineRule="exact"/>
        <w:rPr>
          <w:rFonts w:ascii="仿宋_GB2312" w:hAnsi="宋体" w:eastAsia="仿宋_GB2312"/>
          <w:sz w:val="24"/>
          <w:szCs w:val="24"/>
        </w:rPr>
      </w:pPr>
    </w:p>
    <w:permEnd w:id="78"/>
    <w:p>
      <w:pPr>
        <w:pStyle w:val="26"/>
        <w:spacing w:line="360" w:lineRule="exact"/>
        <w:rPr>
          <w:rFonts w:ascii="仿宋_GB2312" w:hAnsi="宋体" w:eastAsia="仿宋_GB2312"/>
          <w:sz w:val="24"/>
          <w:szCs w:val="24"/>
        </w:rPr>
      </w:pPr>
      <w:r>
        <w:rPr>
          <w:rFonts w:hint="eastAsia" w:ascii="仿宋_GB2312" w:hAnsi="宋体" w:eastAsia="仿宋_GB2312"/>
          <w:sz w:val="24"/>
          <w:szCs w:val="24"/>
        </w:rPr>
        <w:t>12.3商务标投标文件主要包括下列内容：</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12.3.1投标报价</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(1)投标函；</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(2)电子清单计价文件；</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(3)工程量清单报价书；</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12.3.2工程量清单报价书应包括以下内容：</w:t>
      </w:r>
    </w:p>
    <w:p>
      <w:pPr>
        <w:spacing w:line="340" w:lineRule="exact"/>
        <w:ind w:left="540" w:leftChars="171" w:hanging="181" w:hangingChars="75"/>
        <w:rPr>
          <w:rFonts w:ascii="仿宋_GB2312" w:hAnsi="宋体" w:eastAsia="仿宋_GB2312" w:cs="Courier New"/>
          <w:b/>
          <w:sz w:val="24"/>
        </w:rPr>
      </w:pPr>
      <w:r>
        <w:rPr>
          <w:rFonts w:ascii="仿宋_GB2312" w:hAnsi="宋体" w:eastAsia="仿宋_GB2312" w:cs="Courier New"/>
          <w:b/>
          <w:sz w:val="24"/>
        </w:rPr>
        <w:t>(1)工程量清单报价书封面；</w:t>
      </w:r>
    </w:p>
    <w:p>
      <w:pPr>
        <w:spacing w:line="340" w:lineRule="exact"/>
        <w:ind w:left="540" w:leftChars="171" w:hanging="181" w:hangingChars="75"/>
        <w:rPr>
          <w:rFonts w:ascii="仿宋_GB2312" w:hAnsi="宋体" w:eastAsia="仿宋_GB2312" w:cs="Courier New"/>
          <w:b/>
          <w:sz w:val="24"/>
        </w:rPr>
      </w:pPr>
      <w:r>
        <w:rPr>
          <w:rFonts w:ascii="仿宋_GB2312" w:hAnsi="宋体" w:eastAsia="仿宋_GB2312" w:cs="Courier New"/>
          <w:b/>
          <w:sz w:val="24"/>
        </w:rPr>
        <w:t>(2)投标总报价；</w:t>
      </w:r>
    </w:p>
    <w:p>
      <w:pPr>
        <w:spacing w:line="340" w:lineRule="exact"/>
        <w:ind w:left="540" w:leftChars="171" w:hanging="181" w:hangingChars="75"/>
        <w:rPr>
          <w:rFonts w:ascii="仿宋_GB2312" w:hAnsi="宋体" w:eastAsia="仿宋_GB2312" w:cs="Courier New"/>
          <w:b/>
          <w:sz w:val="24"/>
        </w:rPr>
      </w:pPr>
      <w:r>
        <w:rPr>
          <w:rFonts w:ascii="仿宋_GB2312" w:hAnsi="宋体" w:eastAsia="仿宋_GB2312" w:cs="Courier New"/>
          <w:b/>
          <w:sz w:val="24"/>
        </w:rPr>
        <w:t>(3)投标报价说明；</w:t>
      </w:r>
    </w:p>
    <w:p>
      <w:pPr>
        <w:spacing w:line="340" w:lineRule="exact"/>
        <w:ind w:left="540" w:leftChars="171" w:hanging="181" w:hangingChars="75"/>
        <w:rPr>
          <w:rFonts w:ascii="仿宋_GB2312" w:hAnsi="宋体" w:eastAsia="仿宋_GB2312" w:cs="Courier New"/>
          <w:b/>
          <w:sz w:val="24"/>
        </w:rPr>
      </w:pPr>
      <w:r>
        <w:rPr>
          <w:rFonts w:ascii="仿宋_GB2312" w:hAnsi="宋体" w:eastAsia="仿宋_GB2312" w:cs="Courier New"/>
          <w:b/>
          <w:sz w:val="24"/>
        </w:rPr>
        <w:t>(4)投标</w:t>
      </w:r>
      <w:r>
        <w:rPr>
          <w:rFonts w:hint="eastAsia" w:ascii="仿宋_GB2312" w:hAnsi="宋体" w:eastAsia="仿宋_GB2312" w:cs="Courier New"/>
          <w:b/>
          <w:color w:val="FF0000"/>
          <w:sz w:val="24"/>
          <w:u w:val="single"/>
        </w:rPr>
        <w:t>报价汇总</w:t>
      </w:r>
      <w:r>
        <w:rPr>
          <w:rFonts w:ascii="仿宋_GB2312" w:hAnsi="宋体" w:eastAsia="仿宋_GB2312" w:cs="Courier New"/>
          <w:b/>
          <w:sz w:val="24"/>
        </w:rPr>
        <w:t>表；</w:t>
      </w:r>
    </w:p>
    <w:p>
      <w:pPr>
        <w:spacing w:line="340" w:lineRule="exact"/>
        <w:ind w:left="540" w:leftChars="171" w:hanging="181" w:hangingChars="75"/>
        <w:rPr>
          <w:rFonts w:ascii="仿宋_GB2312" w:hAnsi="宋体" w:eastAsia="仿宋_GB2312" w:cs="Courier New"/>
          <w:b/>
          <w:sz w:val="24"/>
        </w:rPr>
      </w:pPr>
      <w:r>
        <w:rPr>
          <w:rFonts w:ascii="仿宋_GB2312" w:hAnsi="宋体" w:eastAsia="仿宋_GB2312" w:cs="Courier New"/>
          <w:b/>
          <w:sz w:val="24"/>
        </w:rPr>
        <w:t>(5)</w:t>
      </w:r>
      <w:r>
        <w:rPr>
          <w:rFonts w:hint="eastAsia" w:ascii="仿宋_GB2312" w:hAnsi="宋体" w:eastAsia="仿宋_GB2312" w:cs="Courier New"/>
          <w:b/>
          <w:sz w:val="24"/>
        </w:rPr>
        <w:t xml:space="preserve"> 工程量清单表</w:t>
      </w:r>
    </w:p>
    <w:p>
      <w:pPr>
        <w:spacing w:line="340" w:lineRule="exact"/>
        <w:ind w:firstLine="241" w:firstLineChars="100"/>
        <w:rPr>
          <w:rFonts w:ascii="仿宋_GB2312" w:hAnsi="宋体" w:eastAsia="仿宋_GB2312" w:cs="Courier New"/>
          <w:b/>
          <w:color w:val="FF0000"/>
          <w:sz w:val="24"/>
        </w:rPr>
      </w:pPr>
      <w:r>
        <w:rPr>
          <w:rFonts w:hint="eastAsia" w:ascii="仿宋_GB2312" w:hAnsi="宋体" w:eastAsia="仿宋_GB2312" w:cs="Courier New"/>
          <w:b/>
          <w:color w:val="FF0000"/>
          <w:sz w:val="24"/>
        </w:rPr>
        <w:t>（6）建筑安装工程费计算表</w:t>
      </w:r>
    </w:p>
    <w:p>
      <w:pPr>
        <w:spacing w:line="340" w:lineRule="exact"/>
        <w:ind w:firstLine="241" w:firstLineChars="100"/>
        <w:rPr>
          <w:rFonts w:ascii="仿宋_GB2312" w:hAnsi="宋体" w:eastAsia="仿宋_GB2312" w:cs="Courier New"/>
          <w:b/>
          <w:color w:val="FF0000"/>
          <w:sz w:val="24"/>
        </w:rPr>
      </w:pPr>
      <w:r>
        <w:rPr>
          <w:rFonts w:hint="eastAsia" w:ascii="仿宋_GB2312" w:hAnsi="宋体" w:eastAsia="仿宋_GB2312" w:cs="Courier New"/>
          <w:b/>
          <w:color w:val="FF0000"/>
          <w:sz w:val="24"/>
        </w:rPr>
        <w:t>（7）其他工程费及间接费综合费率计算表</w:t>
      </w:r>
    </w:p>
    <w:p>
      <w:pPr>
        <w:spacing w:line="340" w:lineRule="exact"/>
        <w:ind w:firstLine="241" w:firstLineChars="100"/>
        <w:rPr>
          <w:rFonts w:ascii="仿宋_GB2312" w:hAnsi="宋体" w:eastAsia="仿宋_GB2312" w:cs="Courier New"/>
          <w:b/>
          <w:color w:val="FF0000"/>
          <w:sz w:val="24"/>
        </w:rPr>
      </w:pPr>
      <w:r>
        <w:rPr>
          <w:rFonts w:hint="eastAsia" w:ascii="仿宋_GB2312" w:hAnsi="宋体" w:eastAsia="仿宋_GB2312" w:cs="Courier New"/>
          <w:b/>
          <w:color w:val="FF0000"/>
          <w:sz w:val="24"/>
        </w:rPr>
        <w:t>（8）人材机单价及数量汇总表</w:t>
      </w:r>
    </w:p>
    <w:p>
      <w:pPr>
        <w:spacing w:line="340" w:lineRule="exact"/>
        <w:ind w:firstLine="241" w:firstLineChars="100"/>
        <w:rPr>
          <w:rFonts w:ascii="仿宋_GB2312" w:hAnsi="宋体" w:eastAsia="仿宋_GB2312" w:cs="Courier New"/>
          <w:b/>
          <w:color w:val="FF0000"/>
          <w:sz w:val="24"/>
        </w:rPr>
      </w:pPr>
      <w:r>
        <w:rPr>
          <w:rFonts w:hint="eastAsia" w:ascii="仿宋_GB2312" w:hAnsi="宋体" w:eastAsia="仿宋_GB2312" w:cs="Courier New"/>
          <w:b/>
          <w:color w:val="FF0000"/>
          <w:sz w:val="24"/>
        </w:rPr>
        <w:t>（9）需评审的材料表</w:t>
      </w:r>
    </w:p>
    <w:p>
      <w:pPr>
        <w:spacing w:line="340" w:lineRule="exact"/>
        <w:ind w:firstLine="241" w:firstLineChars="100"/>
        <w:rPr>
          <w:rFonts w:ascii="仿宋_GB2312" w:hAnsi="宋体" w:eastAsia="仿宋_GB2312" w:cs="Courier New"/>
          <w:b/>
          <w:color w:val="FF0000"/>
          <w:sz w:val="24"/>
        </w:rPr>
      </w:pPr>
      <w:r>
        <w:rPr>
          <w:rFonts w:hint="eastAsia" w:ascii="仿宋_GB2312" w:hAnsi="宋体" w:eastAsia="仿宋_GB2312" w:cs="Courier New"/>
          <w:b/>
          <w:color w:val="FF0000"/>
          <w:sz w:val="24"/>
        </w:rPr>
        <w:t>（10）专业工程暂估价表</w:t>
      </w:r>
    </w:p>
    <w:p>
      <w:pPr>
        <w:spacing w:line="340" w:lineRule="exact"/>
        <w:ind w:firstLine="241" w:firstLineChars="100"/>
        <w:rPr>
          <w:rFonts w:ascii="仿宋_GB2312" w:hAnsi="宋体" w:eastAsia="仿宋_GB2312" w:cs="Courier New"/>
          <w:b/>
          <w:color w:val="FF0000"/>
          <w:sz w:val="24"/>
        </w:rPr>
      </w:pPr>
      <w:r>
        <w:rPr>
          <w:rFonts w:hint="eastAsia" w:ascii="仿宋_GB2312" w:hAnsi="宋体" w:eastAsia="仿宋_GB2312" w:cs="Courier New"/>
          <w:b/>
          <w:color w:val="FF0000"/>
          <w:sz w:val="24"/>
        </w:rPr>
        <w:t>（11）降低投标报价说明、证明材料</w:t>
      </w:r>
    </w:p>
    <w:p>
      <w:pPr>
        <w:spacing w:line="340" w:lineRule="exact"/>
        <w:ind w:firstLine="241" w:firstLineChars="100"/>
        <w:rPr>
          <w:rFonts w:ascii="仿宋_GB2312" w:hAnsi="宋体" w:eastAsia="仿宋_GB2312" w:cs="Courier New"/>
          <w:b/>
          <w:sz w:val="24"/>
        </w:rPr>
      </w:pPr>
      <w:r>
        <w:rPr>
          <w:rFonts w:hint="eastAsia" w:ascii="仿宋_GB2312" w:hAnsi="宋体" w:eastAsia="仿宋_GB2312" w:cs="Courier New"/>
          <w:b/>
          <w:color w:val="FF0000"/>
          <w:sz w:val="24"/>
        </w:rPr>
        <w:t>（12）投标报价需要的其他材料</w:t>
      </w:r>
    </w:p>
    <w:p>
      <w:pPr>
        <w:spacing w:line="340" w:lineRule="exact"/>
        <w:ind w:left="600" w:leftChars="171" w:hanging="241" w:hangingChars="75"/>
        <w:rPr>
          <w:rFonts w:ascii="仿宋_GB2312" w:hAnsi="宋体" w:eastAsia="仿宋_GB2312" w:cs="Courier New"/>
          <w:b/>
          <w:sz w:val="32"/>
          <w:szCs w:val="32"/>
        </w:rPr>
      </w:pPr>
    </w:p>
    <w:p>
      <w:pPr>
        <w:pStyle w:val="26"/>
        <w:spacing w:line="360" w:lineRule="exact"/>
        <w:rPr>
          <w:rFonts w:ascii="仿宋_GB2312" w:hAnsi="宋体" w:eastAsia="仿宋_GB2312"/>
          <w:sz w:val="24"/>
          <w:szCs w:val="24"/>
        </w:rPr>
      </w:pP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12.4 技术标投标文件主要包括下列内容：</w:t>
      </w:r>
    </w:p>
    <w:p>
      <w:pPr>
        <w:pStyle w:val="26"/>
        <w:spacing w:line="360" w:lineRule="exact"/>
        <w:rPr>
          <w:rFonts w:ascii="黑体" w:hAnsi="宋体" w:eastAsia="黑体"/>
          <w:sz w:val="24"/>
          <w:szCs w:val="24"/>
        </w:rPr>
      </w:pPr>
      <w:r>
        <w:rPr>
          <w:rFonts w:hint="eastAsia" w:ascii="黑体" w:hAnsi="宋体" w:eastAsia="黑体"/>
          <w:sz w:val="24"/>
          <w:szCs w:val="24"/>
        </w:rPr>
        <w:t>12.4.1</w:t>
      </w:r>
      <w:r>
        <w:rPr>
          <w:rFonts w:hint="eastAsia" w:ascii="黑体" w:hAnsi="宋体" w:eastAsia="黑体"/>
          <w:spacing w:val="10"/>
          <w:kern w:val="24"/>
          <w:sz w:val="24"/>
          <w:szCs w:val="24"/>
        </w:rPr>
        <w:t>营业执照、企业资质证书、安全生产许可证、</w:t>
      </w:r>
      <w:r>
        <w:rPr>
          <w:rFonts w:hint="eastAsia" w:ascii="黑体" w:hAnsi="宋体" w:eastAsia="黑体"/>
          <w:sz w:val="24"/>
        </w:rPr>
        <w:t>被授权人身份证</w:t>
      </w:r>
      <w:r>
        <w:rPr>
          <w:rFonts w:hint="eastAsia" w:ascii="黑体" w:hAnsi="宋体" w:eastAsia="黑体"/>
          <w:kern w:val="0"/>
          <w:sz w:val="32"/>
          <w:szCs w:val="32"/>
        </w:rPr>
        <w:t>、</w:t>
      </w:r>
      <w:r>
        <w:rPr>
          <w:rFonts w:hint="eastAsia" w:ascii="黑体" w:hAnsi="宋体" w:eastAsia="黑体"/>
          <w:kern w:val="0"/>
          <w:sz w:val="24"/>
        </w:rPr>
        <w:t>业绩证明材料</w:t>
      </w:r>
      <w:r>
        <w:rPr>
          <w:rFonts w:hint="eastAsia" w:ascii="黑体" w:hAnsi="宋体" w:eastAsia="黑体"/>
          <w:sz w:val="24"/>
        </w:rPr>
        <w:t>、拟任本工程项目经理的注册建造师证书及安全生产考核合格证书</w:t>
      </w:r>
      <w:r>
        <w:rPr>
          <w:rFonts w:hint="eastAsia" w:ascii="黑体" w:hAnsi="宋体" w:eastAsia="黑体"/>
          <w:kern w:val="0"/>
          <w:sz w:val="24"/>
        </w:rPr>
        <w:t>等。</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12.4.2 项目管理机构配备情况</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 项目管理机构配备情况表及特殊说明资料（招标人特别要求的）；</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 xml:space="preserve">(2) </w:t>
      </w:r>
      <w:permStart w:id="79" w:edGrp="everyone"/>
      <w:r>
        <w:rPr>
          <w:rFonts w:hint="eastAsia" w:ascii="仿宋_GB2312" w:hAnsi="宋体" w:eastAsia="仿宋_GB2312"/>
          <w:sz w:val="24"/>
          <w:szCs w:val="24"/>
        </w:rPr>
        <w:t>项目经理简历表、业绩表及证明材料（资格后审的项目，可放在资格后审文件中）；</w:t>
      </w:r>
      <w:permEnd w:id="79"/>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 xml:space="preserve">(3) </w:t>
      </w:r>
      <w:permStart w:id="80" w:edGrp="everyone"/>
      <w:r>
        <w:rPr>
          <w:rFonts w:hint="eastAsia" w:ascii="仿宋_GB2312" w:hAnsi="宋体" w:eastAsia="仿宋_GB2312"/>
          <w:sz w:val="24"/>
          <w:szCs w:val="24"/>
        </w:rPr>
        <w:t>项目项目总工简历表、业绩表（资格后审的项目，可放在资格后审文件中）；</w:t>
      </w:r>
      <w:permEnd w:id="80"/>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(4) 项目管理班子关键职位人员履历表及岗位证书（资格后审的项目，可放在资格后审文件中）；</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12.4.3拟分包情况表；</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12.4.4</w:t>
      </w:r>
      <w:permStart w:id="81" w:edGrp="everyone"/>
      <w:r>
        <w:rPr>
          <w:rFonts w:hint="eastAsia" w:ascii="仿宋_GB2312" w:hAnsi="宋体" w:eastAsia="仿宋_GB2312"/>
          <w:sz w:val="24"/>
          <w:szCs w:val="24"/>
        </w:rPr>
        <w:t>投标单位的业绩材料和</w:t>
      </w:r>
      <w:permEnd w:id="81"/>
      <w:r>
        <w:rPr>
          <w:rFonts w:hint="eastAsia" w:ascii="仿宋_GB2312" w:hAnsi="宋体" w:eastAsia="仿宋_GB2312"/>
          <w:sz w:val="24"/>
          <w:szCs w:val="24"/>
        </w:rPr>
        <w:t>投标人认为需要提供的其他资料。</w:t>
      </w:r>
    </w:p>
    <w:p>
      <w:pPr>
        <w:pStyle w:val="26"/>
        <w:spacing w:line="360" w:lineRule="exact"/>
        <w:rPr>
          <w:rFonts w:ascii="仿宋_GB2312" w:hAnsi="宋体" w:eastAsia="仿宋_GB2312"/>
          <w:b/>
          <w:bCs/>
          <w:sz w:val="24"/>
          <w:szCs w:val="24"/>
        </w:rPr>
      </w:pPr>
      <w:r>
        <w:rPr>
          <w:rFonts w:hint="eastAsia" w:ascii="仿宋_GB2312" w:hAnsi="宋体" w:eastAsia="仿宋_GB2312"/>
          <w:sz w:val="24"/>
          <w:szCs w:val="24"/>
        </w:rPr>
        <w:t>12.4.5</w:t>
      </w:r>
      <w:r>
        <w:rPr>
          <w:rFonts w:hint="eastAsia" w:ascii="仿宋_GB2312" w:hAnsi="宋体" w:eastAsia="仿宋_GB2312"/>
          <w:bCs/>
          <w:sz w:val="24"/>
          <w:szCs w:val="24"/>
        </w:rPr>
        <w:t>施工组织设计部分 ：</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(1)各分部分项工程的主要施工方案与技术措施；</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(2)确保工程质量管理体系与措施；</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(3)确保安全生产、文明施工管理体系与措施；</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(4)工程进度计划与措施及施工网络图；</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(5)确保工程进度计划及技术组织措施(附施工进度表或工期网络图)；</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(6)资源配备计划</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①工程投入的主要物资(材料)情况描述及进场计划(附拟投入的主要施工机械设备表)；</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②工程投入的主要施工机械设备情况、主要施工机械进场计划；</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③劳动力安排计划及劳动力计划表；</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(7)施工总平面图及临时用地表（安装类工程项目从实际需要）；</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(8)有必要说明的其他内容。</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 xml:space="preserve">13、投标文件格式    </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13.1投标人须分别编制技术标、商务标。</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13.2投标文件包括本须知第12条中规定的内容，投标人提交的投标文件应当使用招标文件所提供的投标文件全部格式编制投标文件，但表格可以按同样格式扩展。</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 xml:space="preserve">14、投标报价    </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14.1 投标人应仔细阅读招标文件，了解拟投标合同段的全部工程内容。投标人的投标报价应是招标文件所确定的招标范围内全部工程内容的价格体现，但其投标报价不得低于投标人个别成本价。投标人的投标报价，应是在满足招标文件规定工期、质量要求下，完成本须知和合同条款上所列招标工程范围的全部工作，不得以任何理由予以重复。</w:t>
      </w:r>
    </w:p>
    <w:p>
      <w:pPr>
        <w:pStyle w:val="26"/>
        <w:spacing w:line="360" w:lineRule="exact"/>
        <w:rPr>
          <w:rFonts w:ascii="黑体" w:hAnsi="宋体" w:eastAsia="黑体"/>
          <w:sz w:val="24"/>
          <w:szCs w:val="24"/>
        </w:rPr>
      </w:pPr>
      <w:r>
        <w:rPr>
          <w:rFonts w:hint="eastAsia" w:ascii="仿宋_GB2312" w:hAnsi="宋体" w:eastAsia="仿宋_GB2312"/>
          <w:sz w:val="24"/>
          <w:szCs w:val="24"/>
        </w:rPr>
        <w:t>14.2投标人应根据当前建设市场行情，结合工程实际情况及本单位的施工方法、材料来源渠道、施工机械装备、施工管理水平等，对投标费用进行分析、测算，实事求是地确定投标报价（不得低于成本价）任何投标优惠都体现在报价内。招标人不要求投标人采用总价优惠或以总价百分比优惠的方式进行投标报价，其优惠应直接体现在各项投标报价的综合单价中。</w:t>
      </w:r>
      <w:r>
        <w:rPr>
          <w:rFonts w:hint="eastAsia" w:ascii="黑体" w:hAnsi="华文仿宋" w:eastAsia="黑体"/>
          <w:sz w:val="24"/>
          <w:szCs w:val="24"/>
        </w:rPr>
        <w:t>投标</w:t>
      </w:r>
      <w:r>
        <w:rPr>
          <w:rFonts w:hint="eastAsia" w:ascii="黑体" w:hAnsi="宋体" w:eastAsia="黑体"/>
          <w:sz w:val="24"/>
          <w:szCs w:val="24"/>
        </w:rPr>
        <w:t>报价中不得变动暂列金额和招标人提供的暂估价。</w:t>
      </w:r>
      <w:r>
        <w:rPr>
          <w:rFonts w:hint="eastAsia" w:ascii="黑体" w:hAnsi="宋体" w:eastAsia="黑体"/>
          <w:bCs/>
          <w:sz w:val="24"/>
          <w:szCs w:val="24"/>
        </w:rPr>
        <w:t>投标人不得以自有机械闲置、自有材料等不计成本为由进行投标报价。</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14.3</w:t>
      </w:r>
      <w:r>
        <w:rPr>
          <w:rFonts w:hint="eastAsia" w:ascii="仿宋_GB2312" w:hAnsi="宋体" w:eastAsia="仿宋_GB2312"/>
          <w:b/>
          <w:sz w:val="32"/>
          <w:szCs w:val="32"/>
        </w:rPr>
        <w:t>本工程的投标报价采用本须知投标须知前附表第所规定的方式。综合单价是指完成本工程项目的全费用综合单价，其组成包括人工费、材料费、机械费、管理费、规费、税金、措施费、利润、施工工期内的风险费用等为完成本工程项目所需发生的一切费用。</w:t>
      </w:r>
    </w:p>
    <w:p>
      <w:pPr>
        <w:pStyle w:val="26"/>
        <w:spacing w:line="360" w:lineRule="exact"/>
        <w:rPr>
          <w:rFonts w:ascii="仿宋_GB2312" w:hAnsi="宋体" w:eastAsia="仿宋_GB2312"/>
          <w:bCs/>
          <w:sz w:val="24"/>
          <w:szCs w:val="24"/>
        </w:rPr>
      </w:pPr>
      <w:r>
        <w:rPr>
          <w:rFonts w:hint="eastAsia" w:ascii="仿宋_GB2312" w:hAnsi="宋体" w:eastAsia="仿宋_GB2312"/>
          <w:sz w:val="24"/>
          <w:szCs w:val="24"/>
        </w:rPr>
        <w:t>14.4</w:t>
      </w:r>
      <w:r>
        <w:rPr>
          <w:rFonts w:hint="eastAsia" w:ascii="仿宋_GB2312" w:hAnsi="宋体" w:eastAsia="仿宋_GB2312"/>
          <w:bCs/>
          <w:sz w:val="24"/>
          <w:szCs w:val="24"/>
        </w:rPr>
        <w:t>投标报价编制依据</w:t>
      </w:r>
    </w:p>
    <w:p>
      <w:pPr>
        <w:spacing w:line="340" w:lineRule="exact"/>
        <w:rPr>
          <w:rFonts w:ascii="仿宋_GB2312" w:hAnsi="宋体" w:eastAsia="仿宋_GB2312" w:cs="Courier New"/>
          <w:b/>
          <w:color w:val="FF0000"/>
          <w:sz w:val="24"/>
        </w:rPr>
      </w:pPr>
      <w:r>
        <w:rPr>
          <w:rFonts w:ascii="仿宋_GB2312" w:hAnsi="宋体" w:eastAsia="仿宋_GB2312" w:cs="Courier New"/>
          <w:b/>
          <w:color w:val="FF0000"/>
          <w:sz w:val="24"/>
        </w:rPr>
        <w:t>1</w:t>
      </w:r>
      <w:r>
        <w:rPr>
          <w:rFonts w:hint="eastAsia" w:ascii="仿宋_GB2312" w:hAnsi="宋体" w:eastAsia="仿宋_GB2312" w:cs="Courier New"/>
          <w:b/>
          <w:color w:val="FF0000"/>
          <w:sz w:val="24"/>
        </w:rPr>
        <w:t>4</w:t>
      </w:r>
      <w:r>
        <w:rPr>
          <w:rFonts w:ascii="仿宋_GB2312" w:hAnsi="宋体" w:eastAsia="仿宋_GB2312" w:cs="Courier New"/>
          <w:b/>
          <w:color w:val="FF0000"/>
          <w:sz w:val="24"/>
        </w:rPr>
        <w:t>.4.1招标文件；</w:t>
      </w:r>
    </w:p>
    <w:p>
      <w:pPr>
        <w:spacing w:line="340" w:lineRule="exact"/>
        <w:rPr>
          <w:rFonts w:ascii="仿宋_GB2312" w:hAnsi="宋体" w:eastAsia="仿宋_GB2312" w:cs="Courier New"/>
          <w:b/>
          <w:color w:val="FF0000"/>
          <w:sz w:val="24"/>
        </w:rPr>
      </w:pPr>
      <w:r>
        <w:rPr>
          <w:rFonts w:ascii="仿宋_GB2312" w:hAnsi="宋体" w:eastAsia="仿宋_GB2312" w:cs="Courier New"/>
          <w:b/>
          <w:color w:val="FF0000"/>
          <w:sz w:val="24"/>
        </w:rPr>
        <w:t>1</w:t>
      </w:r>
      <w:r>
        <w:rPr>
          <w:rFonts w:hint="eastAsia" w:ascii="仿宋_GB2312" w:hAnsi="宋体" w:eastAsia="仿宋_GB2312" w:cs="Courier New"/>
          <w:b/>
          <w:color w:val="FF0000"/>
          <w:sz w:val="24"/>
        </w:rPr>
        <w:t>4</w:t>
      </w:r>
      <w:r>
        <w:rPr>
          <w:rFonts w:ascii="仿宋_GB2312" w:hAnsi="宋体" w:eastAsia="仿宋_GB2312" w:cs="Courier New"/>
          <w:b/>
          <w:color w:val="FF0000"/>
          <w:sz w:val="24"/>
        </w:rPr>
        <w:t>.4.2设计图纸</w:t>
      </w:r>
      <w:r>
        <w:rPr>
          <w:rFonts w:hint="eastAsia" w:ascii="仿宋_GB2312" w:hAnsi="宋体" w:eastAsia="仿宋_GB2312" w:cs="Courier New"/>
          <w:b/>
          <w:color w:val="FF0000"/>
          <w:sz w:val="24"/>
        </w:rPr>
        <w:t>；</w:t>
      </w:r>
    </w:p>
    <w:p>
      <w:pPr>
        <w:spacing w:line="340" w:lineRule="exact"/>
        <w:rPr>
          <w:rFonts w:ascii="仿宋_GB2312" w:hAnsi="宋体" w:eastAsia="仿宋_GB2312" w:cs="Courier New"/>
          <w:b/>
          <w:color w:val="FF0000"/>
          <w:sz w:val="24"/>
        </w:rPr>
      </w:pPr>
      <w:r>
        <w:rPr>
          <w:rFonts w:ascii="仿宋_GB2312" w:hAnsi="宋体" w:eastAsia="仿宋_GB2312" w:cs="Courier New"/>
          <w:b/>
          <w:color w:val="FF0000"/>
          <w:sz w:val="24"/>
        </w:rPr>
        <w:t>1</w:t>
      </w:r>
      <w:r>
        <w:rPr>
          <w:rFonts w:hint="eastAsia" w:ascii="仿宋_GB2312" w:hAnsi="宋体" w:eastAsia="仿宋_GB2312" w:cs="Courier New"/>
          <w:b/>
          <w:color w:val="FF0000"/>
          <w:sz w:val="24"/>
        </w:rPr>
        <w:t>4</w:t>
      </w:r>
      <w:r>
        <w:rPr>
          <w:rFonts w:ascii="仿宋_GB2312" w:hAnsi="宋体" w:eastAsia="仿宋_GB2312" w:cs="Courier New"/>
          <w:b/>
          <w:color w:val="FF0000"/>
          <w:sz w:val="24"/>
        </w:rPr>
        <w:t>.4.3工程量清单</w:t>
      </w:r>
      <w:r>
        <w:rPr>
          <w:rFonts w:hint="eastAsia" w:ascii="仿宋_GB2312" w:hAnsi="宋体" w:eastAsia="仿宋_GB2312" w:cs="Courier New"/>
          <w:b/>
          <w:color w:val="FF0000"/>
          <w:sz w:val="24"/>
        </w:rPr>
        <w:t>；</w:t>
      </w:r>
    </w:p>
    <w:p>
      <w:pPr>
        <w:spacing w:line="340" w:lineRule="exact"/>
        <w:rPr>
          <w:rFonts w:ascii="仿宋_GB2312" w:hAnsi="宋体" w:eastAsia="仿宋_GB2312" w:cs="Courier New"/>
          <w:b/>
          <w:color w:val="FF0000"/>
          <w:sz w:val="24"/>
        </w:rPr>
      </w:pPr>
      <w:r>
        <w:rPr>
          <w:rFonts w:ascii="仿宋_GB2312" w:hAnsi="宋体" w:eastAsia="仿宋_GB2312" w:cs="Courier New"/>
          <w:b/>
          <w:color w:val="FF0000"/>
          <w:sz w:val="24"/>
        </w:rPr>
        <w:t>1</w:t>
      </w:r>
      <w:r>
        <w:rPr>
          <w:rFonts w:hint="eastAsia" w:ascii="仿宋_GB2312" w:hAnsi="宋体" w:eastAsia="仿宋_GB2312" w:cs="Courier New"/>
          <w:b/>
          <w:color w:val="FF0000"/>
          <w:sz w:val="24"/>
        </w:rPr>
        <w:t>4</w:t>
      </w:r>
      <w:r>
        <w:rPr>
          <w:rFonts w:ascii="仿宋_GB2312" w:hAnsi="宋体" w:eastAsia="仿宋_GB2312" w:cs="Courier New"/>
          <w:b/>
          <w:color w:val="FF0000"/>
          <w:sz w:val="24"/>
        </w:rPr>
        <w:t>.4.4澄清、补充文件、修改纪要中提出的工程技术、质量、工期、承包范围、工器具及设备清单</w:t>
      </w:r>
      <w:r>
        <w:rPr>
          <w:rFonts w:hint="eastAsia" w:ascii="仿宋_GB2312" w:hAnsi="宋体" w:eastAsia="仿宋_GB2312" w:cs="Courier New"/>
          <w:b/>
          <w:color w:val="FF0000"/>
          <w:sz w:val="24"/>
        </w:rPr>
        <w:t>；</w:t>
      </w:r>
    </w:p>
    <w:p>
      <w:pPr>
        <w:spacing w:line="340" w:lineRule="exact"/>
        <w:rPr>
          <w:rFonts w:ascii="仿宋_GB2312" w:hAnsi="宋体" w:eastAsia="仿宋_GB2312" w:cs="Courier New"/>
          <w:b/>
          <w:color w:val="FF0000"/>
          <w:sz w:val="24"/>
        </w:rPr>
      </w:pPr>
      <w:r>
        <w:rPr>
          <w:rFonts w:ascii="仿宋_GB2312" w:hAnsi="宋体" w:eastAsia="仿宋_GB2312" w:cs="Courier New"/>
          <w:b/>
          <w:color w:val="FF0000"/>
          <w:sz w:val="24"/>
        </w:rPr>
        <w:t>1</w:t>
      </w:r>
      <w:r>
        <w:rPr>
          <w:rFonts w:hint="eastAsia" w:ascii="仿宋_GB2312" w:hAnsi="宋体" w:eastAsia="仿宋_GB2312" w:cs="Courier New"/>
          <w:b/>
          <w:color w:val="FF0000"/>
          <w:sz w:val="24"/>
        </w:rPr>
        <w:t>4</w:t>
      </w:r>
      <w:r>
        <w:rPr>
          <w:rFonts w:ascii="仿宋_GB2312" w:hAnsi="宋体" w:eastAsia="仿宋_GB2312" w:cs="Courier New"/>
          <w:b/>
          <w:color w:val="FF0000"/>
          <w:sz w:val="24"/>
        </w:rPr>
        <w:t>.4.5施工组织设计及施工方案</w:t>
      </w:r>
      <w:r>
        <w:rPr>
          <w:rFonts w:hint="eastAsia" w:ascii="仿宋_GB2312" w:hAnsi="宋体" w:eastAsia="仿宋_GB2312" w:cs="Courier New"/>
          <w:b/>
          <w:color w:val="FF0000"/>
          <w:sz w:val="24"/>
        </w:rPr>
        <w:t>；</w:t>
      </w:r>
    </w:p>
    <w:p>
      <w:pPr>
        <w:spacing w:line="340" w:lineRule="exact"/>
        <w:rPr>
          <w:rFonts w:ascii="仿宋_GB2312" w:hAnsi="宋体" w:eastAsia="仿宋_GB2312" w:cs="Courier New"/>
          <w:b/>
          <w:color w:val="FF0000"/>
          <w:sz w:val="24"/>
        </w:rPr>
      </w:pPr>
      <w:r>
        <w:rPr>
          <w:rFonts w:ascii="仿宋_GB2312" w:hAnsi="宋体" w:eastAsia="仿宋_GB2312" w:cs="Courier New"/>
          <w:b/>
          <w:color w:val="FF0000"/>
          <w:sz w:val="24"/>
        </w:rPr>
        <w:t>1</w:t>
      </w:r>
      <w:r>
        <w:rPr>
          <w:rFonts w:hint="eastAsia" w:ascii="仿宋_GB2312" w:hAnsi="宋体" w:eastAsia="仿宋_GB2312" w:cs="Courier New"/>
          <w:b/>
          <w:color w:val="FF0000"/>
          <w:sz w:val="24"/>
        </w:rPr>
        <w:t>4</w:t>
      </w:r>
      <w:r>
        <w:rPr>
          <w:rFonts w:ascii="仿宋_GB2312" w:hAnsi="宋体" w:eastAsia="仿宋_GB2312" w:cs="Courier New"/>
          <w:b/>
          <w:color w:val="FF0000"/>
          <w:sz w:val="24"/>
        </w:rPr>
        <w:t>.4.6质量验收规范等国家、行业、地方有关技术标准、规范</w:t>
      </w:r>
      <w:r>
        <w:rPr>
          <w:rFonts w:hint="eastAsia" w:ascii="仿宋_GB2312" w:hAnsi="宋体" w:eastAsia="仿宋_GB2312" w:cs="Courier New"/>
          <w:b/>
          <w:color w:val="FF0000"/>
          <w:sz w:val="24"/>
        </w:rPr>
        <w:t>；</w:t>
      </w:r>
    </w:p>
    <w:p>
      <w:pPr>
        <w:spacing w:line="340" w:lineRule="exact"/>
        <w:rPr>
          <w:rFonts w:ascii="仿宋_GB2312" w:hAnsi="宋体" w:eastAsia="仿宋_GB2312" w:cs="Courier New"/>
          <w:b/>
          <w:color w:val="FF0000"/>
          <w:sz w:val="24"/>
        </w:rPr>
      </w:pPr>
      <w:r>
        <w:rPr>
          <w:rFonts w:ascii="仿宋_GB2312" w:hAnsi="宋体" w:eastAsia="仿宋_GB2312" w:cs="Courier New"/>
          <w:b/>
          <w:color w:val="FF0000"/>
          <w:sz w:val="24"/>
        </w:rPr>
        <w:t>1</w:t>
      </w:r>
      <w:r>
        <w:rPr>
          <w:rFonts w:hint="eastAsia" w:ascii="仿宋_GB2312" w:hAnsi="宋体" w:eastAsia="仿宋_GB2312" w:cs="Courier New"/>
          <w:b/>
          <w:color w:val="FF0000"/>
          <w:sz w:val="24"/>
        </w:rPr>
        <w:t>4</w:t>
      </w:r>
      <w:r>
        <w:rPr>
          <w:rFonts w:ascii="仿宋_GB2312" w:hAnsi="宋体" w:eastAsia="仿宋_GB2312" w:cs="Courier New"/>
          <w:b/>
          <w:color w:val="FF0000"/>
          <w:sz w:val="24"/>
        </w:rPr>
        <w:t>.4.7</w:t>
      </w:r>
      <w:r>
        <w:rPr>
          <w:rFonts w:hint="eastAsia" w:ascii="仿宋_GB2312" w:hAnsi="宋体" w:eastAsia="仿宋_GB2312" w:cs="Courier New"/>
          <w:b/>
          <w:color w:val="FF0000"/>
          <w:sz w:val="24"/>
        </w:rPr>
        <w:t xml:space="preserve">交通运输部《公路工程预算定额》；JTG/T </w:t>
      </w:r>
      <w:r>
        <w:rPr>
          <w:rFonts w:ascii="仿宋_GB2312" w:hAnsi="宋体" w:eastAsia="仿宋_GB2312" w:cs="Courier New"/>
          <w:b/>
          <w:color w:val="FF0000"/>
          <w:sz w:val="24"/>
        </w:rPr>
        <w:t>3832</w:t>
      </w:r>
      <w:r>
        <w:rPr>
          <w:rFonts w:hint="eastAsia" w:ascii="仿宋_GB2312" w:hAnsi="宋体" w:eastAsia="仿宋_GB2312" w:cs="Courier New"/>
          <w:b/>
          <w:color w:val="FF0000"/>
          <w:sz w:val="24"/>
        </w:rPr>
        <w:t>-</w:t>
      </w:r>
      <w:r>
        <w:rPr>
          <w:rFonts w:ascii="仿宋_GB2312" w:hAnsi="宋体" w:eastAsia="仿宋_GB2312" w:cs="Courier New"/>
          <w:b/>
          <w:color w:val="FF0000"/>
          <w:sz w:val="24"/>
        </w:rPr>
        <w:t>2018</w:t>
      </w:r>
    </w:p>
    <w:p>
      <w:pPr>
        <w:spacing w:line="340" w:lineRule="exact"/>
        <w:rPr>
          <w:rFonts w:ascii="仿宋_GB2312" w:hAnsi="宋体" w:eastAsia="仿宋_GB2312" w:cs="Courier New"/>
          <w:b/>
          <w:color w:val="FF0000"/>
          <w:sz w:val="24"/>
        </w:rPr>
      </w:pPr>
      <w:r>
        <w:rPr>
          <w:rFonts w:ascii="仿宋_GB2312" w:hAnsi="宋体" w:eastAsia="仿宋_GB2312" w:cs="Courier New"/>
          <w:b/>
          <w:color w:val="FF0000"/>
          <w:sz w:val="24"/>
        </w:rPr>
        <w:t>1</w:t>
      </w:r>
      <w:r>
        <w:rPr>
          <w:rFonts w:hint="eastAsia" w:ascii="仿宋_GB2312" w:hAnsi="宋体" w:eastAsia="仿宋_GB2312" w:cs="Courier New"/>
          <w:b/>
          <w:color w:val="FF0000"/>
          <w:sz w:val="24"/>
        </w:rPr>
        <w:t>4</w:t>
      </w:r>
      <w:r>
        <w:rPr>
          <w:rFonts w:ascii="仿宋_GB2312" w:hAnsi="宋体" w:eastAsia="仿宋_GB2312" w:cs="Courier New"/>
          <w:b/>
          <w:color w:val="FF0000"/>
          <w:sz w:val="24"/>
        </w:rPr>
        <w:t>.4.</w:t>
      </w:r>
      <w:r>
        <w:rPr>
          <w:rFonts w:hint="eastAsia" w:ascii="仿宋_GB2312" w:hAnsi="宋体" w:eastAsia="仿宋_GB2312" w:cs="Courier New"/>
          <w:b/>
          <w:color w:val="FF0000"/>
          <w:sz w:val="24"/>
        </w:rPr>
        <w:t>8交通运输部《公路工程概预算基价表》；</w:t>
      </w:r>
    </w:p>
    <w:p>
      <w:pPr>
        <w:spacing w:line="340" w:lineRule="exact"/>
        <w:rPr>
          <w:rFonts w:ascii="仿宋_GB2312" w:hAnsi="宋体" w:eastAsia="仿宋_GB2312" w:cs="Courier New"/>
          <w:b/>
          <w:color w:val="FF0000"/>
          <w:sz w:val="24"/>
        </w:rPr>
      </w:pPr>
      <w:r>
        <w:rPr>
          <w:rFonts w:ascii="仿宋_GB2312" w:hAnsi="宋体" w:eastAsia="仿宋_GB2312" w:cs="Courier New"/>
          <w:b/>
          <w:color w:val="FF0000"/>
          <w:sz w:val="24"/>
        </w:rPr>
        <w:t>1</w:t>
      </w:r>
      <w:r>
        <w:rPr>
          <w:rFonts w:hint="eastAsia" w:ascii="仿宋_GB2312" w:hAnsi="宋体" w:eastAsia="仿宋_GB2312" w:cs="Courier New"/>
          <w:b/>
          <w:color w:val="FF0000"/>
          <w:sz w:val="24"/>
        </w:rPr>
        <w:t>4</w:t>
      </w:r>
      <w:r>
        <w:rPr>
          <w:rFonts w:ascii="仿宋_GB2312" w:hAnsi="宋体" w:eastAsia="仿宋_GB2312" w:cs="Courier New"/>
          <w:b/>
          <w:color w:val="FF0000"/>
          <w:sz w:val="24"/>
        </w:rPr>
        <w:t>.4.</w:t>
      </w:r>
      <w:r>
        <w:rPr>
          <w:rFonts w:hint="eastAsia" w:ascii="仿宋_GB2312" w:hAnsi="宋体" w:eastAsia="仿宋_GB2312" w:cs="Courier New"/>
          <w:b/>
          <w:color w:val="FF0000"/>
          <w:sz w:val="24"/>
        </w:rPr>
        <w:t xml:space="preserve">9交通运输部《公路工程机械台班费用定额》JTG/T </w:t>
      </w:r>
      <w:r>
        <w:rPr>
          <w:rFonts w:ascii="仿宋_GB2312" w:hAnsi="宋体" w:eastAsia="仿宋_GB2312" w:cs="Courier New"/>
          <w:b/>
          <w:color w:val="FF0000"/>
          <w:sz w:val="24"/>
        </w:rPr>
        <w:t>3833</w:t>
      </w:r>
      <w:r>
        <w:rPr>
          <w:rFonts w:hint="eastAsia" w:ascii="仿宋_GB2312" w:hAnsi="宋体" w:eastAsia="仿宋_GB2312" w:cs="Courier New"/>
          <w:b/>
          <w:color w:val="FF0000"/>
          <w:sz w:val="24"/>
        </w:rPr>
        <w:t>-</w:t>
      </w:r>
      <w:r>
        <w:rPr>
          <w:rFonts w:ascii="仿宋_GB2312" w:hAnsi="宋体" w:eastAsia="仿宋_GB2312" w:cs="Courier New"/>
          <w:b/>
          <w:color w:val="FF0000"/>
          <w:sz w:val="24"/>
        </w:rPr>
        <w:t>2018</w:t>
      </w:r>
      <w:r>
        <w:rPr>
          <w:rFonts w:hint="eastAsia" w:ascii="仿宋_GB2312" w:hAnsi="宋体" w:eastAsia="仿宋_GB2312" w:cs="Courier New"/>
          <w:b/>
          <w:color w:val="FF0000"/>
          <w:sz w:val="24"/>
        </w:rPr>
        <w:t>；</w:t>
      </w:r>
    </w:p>
    <w:p>
      <w:pPr>
        <w:spacing w:line="340" w:lineRule="exact"/>
        <w:rPr>
          <w:rFonts w:ascii="仿宋_GB2312" w:hAnsi="宋体" w:eastAsia="仿宋_GB2312" w:cs="Courier New"/>
          <w:b/>
          <w:color w:val="FF0000"/>
          <w:sz w:val="24"/>
        </w:rPr>
      </w:pPr>
      <w:r>
        <w:rPr>
          <w:rFonts w:ascii="仿宋_GB2312" w:hAnsi="宋体" w:eastAsia="仿宋_GB2312" w:cs="Courier New"/>
          <w:b/>
          <w:color w:val="FF0000"/>
          <w:sz w:val="24"/>
        </w:rPr>
        <w:t>1</w:t>
      </w:r>
      <w:r>
        <w:rPr>
          <w:rFonts w:hint="eastAsia" w:ascii="仿宋_GB2312" w:hAnsi="宋体" w:eastAsia="仿宋_GB2312" w:cs="Courier New"/>
          <w:b/>
          <w:color w:val="FF0000"/>
          <w:sz w:val="24"/>
        </w:rPr>
        <w:t>4</w:t>
      </w:r>
      <w:r>
        <w:rPr>
          <w:rFonts w:ascii="仿宋_GB2312" w:hAnsi="宋体" w:eastAsia="仿宋_GB2312" w:cs="Courier New"/>
          <w:b/>
          <w:color w:val="FF0000"/>
          <w:sz w:val="24"/>
        </w:rPr>
        <w:t>.4.</w:t>
      </w:r>
      <w:r>
        <w:rPr>
          <w:rFonts w:hint="eastAsia" w:ascii="仿宋_GB2312" w:hAnsi="宋体" w:eastAsia="仿宋_GB2312" w:cs="Courier New"/>
          <w:b/>
          <w:color w:val="FF0000"/>
          <w:sz w:val="24"/>
        </w:rPr>
        <w:t xml:space="preserve">10交通运输部《公路基本建设项目概算预算编制办法》JTG </w:t>
      </w:r>
      <w:r>
        <w:rPr>
          <w:rFonts w:ascii="仿宋_GB2312" w:hAnsi="宋体" w:eastAsia="仿宋_GB2312" w:cs="Courier New"/>
          <w:b/>
          <w:color w:val="FF0000"/>
          <w:sz w:val="24"/>
        </w:rPr>
        <w:t>3830</w:t>
      </w:r>
      <w:r>
        <w:rPr>
          <w:rFonts w:hint="eastAsia" w:ascii="仿宋_GB2312" w:hAnsi="宋体" w:eastAsia="仿宋_GB2312" w:cs="Courier New"/>
          <w:b/>
          <w:color w:val="FF0000"/>
          <w:sz w:val="24"/>
        </w:rPr>
        <w:t>-</w:t>
      </w:r>
      <w:r>
        <w:rPr>
          <w:rFonts w:ascii="仿宋_GB2312" w:hAnsi="宋体" w:eastAsia="仿宋_GB2312" w:cs="Courier New"/>
          <w:b/>
          <w:color w:val="FF0000"/>
          <w:sz w:val="24"/>
        </w:rPr>
        <w:t>2018</w:t>
      </w:r>
    </w:p>
    <w:p>
      <w:pPr>
        <w:spacing w:line="340" w:lineRule="exact"/>
        <w:rPr>
          <w:rFonts w:ascii="仿宋_GB2312" w:hAnsi="宋体" w:eastAsia="仿宋_GB2312" w:cs="Courier New"/>
          <w:b/>
          <w:color w:val="FF0000"/>
          <w:sz w:val="24"/>
        </w:rPr>
      </w:pPr>
      <w:r>
        <w:rPr>
          <w:rFonts w:ascii="仿宋_GB2312" w:hAnsi="宋体" w:eastAsia="仿宋_GB2312" w:cs="Courier New"/>
          <w:b/>
          <w:color w:val="FF0000"/>
          <w:sz w:val="24"/>
        </w:rPr>
        <w:t>1</w:t>
      </w:r>
      <w:r>
        <w:rPr>
          <w:rFonts w:hint="eastAsia" w:ascii="仿宋_GB2312" w:hAnsi="宋体" w:eastAsia="仿宋_GB2312" w:cs="Courier New"/>
          <w:b/>
          <w:color w:val="FF0000"/>
          <w:sz w:val="24"/>
        </w:rPr>
        <w:t>4</w:t>
      </w:r>
      <w:r>
        <w:rPr>
          <w:rFonts w:ascii="仿宋_GB2312" w:hAnsi="宋体" w:eastAsia="仿宋_GB2312" w:cs="Courier New"/>
          <w:b/>
          <w:color w:val="FF0000"/>
          <w:sz w:val="24"/>
        </w:rPr>
        <w:t>.4.</w:t>
      </w:r>
      <w:r>
        <w:rPr>
          <w:rFonts w:hint="eastAsia" w:ascii="仿宋_GB2312" w:hAnsi="宋体" w:eastAsia="仿宋_GB2312" w:cs="Courier New"/>
          <w:b/>
          <w:color w:val="FF0000"/>
          <w:sz w:val="24"/>
        </w:rPr>
        <w:t>11</w:t>
      </w:r>
      <w:r>
        <w:rPr>
          <w:rFonts w:ascii="仿宋_GB2312" w:hAnsi="宋体" w:eastAsia="仿宋_GB2312" w:cs="Courier New"/>
          <w:b/>
          <w:color w:val="FF0000"/>
          <w:sz w:val="24"/>
        </w:rPr>
        <w:t>本工程涉及的人工、材料、机械台班的市场价格</w:t>
      </w:r>
      <w:r>
        <w:rPr>
          <w:rFonts w:hint="eastAsia" w:ascii="仿宋_GB2312" w:hAnsi="宋体" w:eastAsia="仿宋_GB2312" w:cs="Courier New"/>
          <w:b/>
          <w:color w:val="FF0000"/>
          <w:sz w:val="24"/>
        </w:rPr>
        <w:t>；</w:t>
      </w:r>
    </w:p>
    <w:p>
      <w:pPr>
        <w:spacing w:line="340" w:lineRule="exact"/>
        <w:rPr>
          <w:rFonts w:ascii="仿宋_GB2312" w:hAnsi="宋体" w:eastAsia="仿宋_GB2312" w:cs="Courier New"/>
          <w:b/>
          <w:color w:val="FF0000"/>
          <w:sz w:val="24"/>
        </w:rPr>
      </w:pPr>
      <w:r>
        <w:rPr>
          <w:rFonts w:ascii="仿宋_GB2312" w:hAnsi="宋体" w:eastAsia="仿宋_GB2312" w:cs="Courier New"/>
          <w:b/>
          <w:color w:val="FF0000"/>
          <w:sz w:val="24"/>
        </w:rPr>
        <w:t>1</w:t>
      </w:r>
      <w:r>
        <w:rPr>
          <w:rFonts w:hint="eastAsia" w:ascii="仿宋_GB2312" w:hAnsi="宋体" w:eastAsia="仿宋_GB2312" w:cs="Courier New"/>
          <w:b/>
          <w:color w:val="FF0000"/>
          <w:sz w:val="24"/>
        </w:rPr>
        <w:t>4</w:t>
      </w:r>
      <w:r>
        <w:rPr>
          <w:rFonts w:ascii="仿宋_GB2312" w:hAnsi="宋体" w:eastAsia="仿宋_GB2312" w:cs="Courier New"/>
          <w:b/>
          <w:color w:val="FF0000"/>
          <w:sz w:val="24"/>
        </w:rPr>
        <w:t>.4.</w:t>
      </w:r>
      <w:r>
        <w:rPr>
          <w:rFonts w:hint="eastAsia" w:ascii="仿宋_GB2312" w:hAnsi="宋体" w:eastAsia="仿宋_GB2312" w:cs="Courier New"/>
          <w:b/>
          <w:color w:val="FF0000"/>
          <w:sz w:val="24"/>
        </w:rPr>
        <w:t>12《安徽省公路工程基本建设项目概算预算编制办法补充规定》皖交基</w:t>
      </w:r>
      <w:r>
        <w:rPr>
          <w:rFonts w:ascii="仿宋_GB2312" w:hAnsi="宋体" w:eastAsia="仿宋_GB2312" w:cs="Courier New"/>
          <w:b/>
          <w:color w:val="FF0000"/>
          <w:sz w:val="24"/>
        </w:rPr>
        <w:t>[2008]</w:t>
      </w:r>
      <w:r>
        <w:rPr>
          <w:rFonts w:hint="eastAsia" w:ascii="仿宋_GB2312" w:hAnsi="宋体" w:eastAsia="仿宋_GB2312" w:cs="Courier New"/>
          <w:b/>
          <w:color w:val="FF0000"/>
          <w:sz w:val="24"/>
        </w:rPr>
        <w:t>17号及现行国家及省、市关于公路工程预算编制办法的补充规定。</w:t>
      </w:r>
    </w:p>
    <w:p>
      <w:pPr>
        <w:pStyle w:val="26"/>
        <w:spacing w:line="360" w:lineRule="exact"/>
        <w:rPr>
          <w:rFonts w:ascii="仿宋_GB2312" w:hAnsi="宋体" w:eastAsia="仿宋_GB2312"/>
          <w:b/>
          <w:sz w:val="24"/>
          <w:szCs w:val="24"/>
        </w:rPr>
      </w:pPr>
      <w:r>
        <w:rPr>
          <w:rFonts w:hint="eastAsia" w:ascii="仿宋_GB2312" w:hAnsi="宋体" w:eastAsia="仿宋_GB2312"/>
          <w:b/>
          <w:sz w:val="24"/>
          <w:szCs w:val="24"/>
        </w:rPr>
        <w:t>14.5 除非招标人对招标文件予以修改、更正，否则投标人应按招标人提供的工程量清单中列出的工程项目和工程量逐项填报综合单价和合价。</w:t>
      </w:r>
      <w:r>
        <w:rPr>
          <w:rFonts w:hint="eastAsia" w:ascii="仿宋_GB2312" w:hAnsi="宋体" w:eastAsia="仿宋_GB2312"/>
          <w:b/>
          <w:bCs/>
          <w:sz w:val="24"/>
          <w:szCs w:val="24"/>
        </w:rPr>
        <w:t>投标人不得在工程量清单中任意增删、修改清单项目与工程量及项目排列顺序。</w:t>
      </w:r>
    </w:p>
    <w:p>
      <w:pPr>
        <w:pStyle w:val="26"/>
        <w:spacing w:line="360" w:lineRule="exact"/>
        <w:rPr>
          <w:rFonts w:ascii="仿宋_GB2312" w:hAnsi="宋体" w:eastAsia="仿宋_GB2312"/>
          <w:b/>
          <w:color w:val="FF0000"/>
          <w:sz w:val="24"/>
          <w:szCs w:val="24"/>
          <w:u w:val="single"/>
        </w:rPr>
      </w:pPr>
      <w:r>
        <w:rPr>
          <w:rFonts w:hint="eastAsia" w:ascii="仿宋_GB2312" w:hAnsi="宋体" w:eastAsia="仿宋_GB2312"/>
          <w:b/>
          <w:sz w:val="24"/>
          <w:szCs w:val="24"/>
        </w:rPr>
        <w:t>14.6除非合同中另有规定，投标人在工程量清单报价书中所报的综合单价和合价、以及投标报价汇总表中的投标报价均包括完成招标文件规定的全部工程内容及为达到质量和工期目标、安全文明、环境保护等要求的直接费、间接费、利润、税金、风险费等所有费用。为满足工程建设标准和技术规范要求所发生的费用应包括在投标报价中。投标报价为投标人在投标文件中提出的各项支付金额的总和。每一清单项目只允许有一个报价，任何有选择的报价将不予接受。投标人未填综合单价或合价的清单项目，将被视为该项费用已包括在其他有价款的综合单价或合价以及投标总价内，投标人必须按合同要求完成工程量清单中未填综合单价或合价的工程项目，任何与未填综合单价或合价的工程项目有关的工程价款，招标人将不再</w:t>
      </w:r>
      <w:r>
        <w:rPr>
          <w:rFonts w:hint="eastAsia" w:ascii="仿宋_GB2312" w:hAnsi="宋体" w:eastAsia="仿宋_GB2312"/>
          <w:b/>
          <w:color w:val="FF0000"/>
          <w:sz w:val="24"/>
          <w:szCs w:val="24"/>
        </w:rPr>
        <w:t>另</w:t>
      </w:r>
      <w:r>
        <w:rPr>
          <w:rFonts w:hint="eastAsia" w:ascii="仿宋_GB2312" w:hAnsi="宋体" w:eastAsia="仿宋_GB2312"/>
          <w:b/>
          <w:color w:val="FF0000"/>
          <w:sz w:val="24"/>
          <w:szCs w:val="24"/>
          <w:u w:val="single"/>
        </w:rPr>
        <w:t>行支付。</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14.7工程材料</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14.7.1材料供应方式：本工程使用的材料由承包方采购供应；</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14.7.2材料价格：除甲供材和实行暂定价的材料及设备以外，由投标单位自行采购的材料确定投标报价时应充分考虑材料价格上涨等市场风险因素，综合单价中的材料费应包括材料运杂费、采保费及试验检验费。</w:t>
      </w:r>
    </w:p>
    <w:p>
      <w:pPr>
        <w:pStyle w:val="26"/>
        <w:spacing w:line="360" w:lineRule="exact"/>
        <w:rPr>
          <w:rFonts w:ascii="黑体" w:hAnsi="宋体" w:eastAsia="黑体"/>
          <w:sz w:val="24"/>
          <w:szCs w:val="24"/>
        </w:rPr>
      </w:pPr>
      <w:r>
        <w:rPr>
          <w:rFonts w:hint="eastAsia" w:ascii="仿宋_GB2312" w:hAnsi="宋体" w:eastAsia="仿宋_GB2312"/>
          <w:sz w:val="24"/>
          <w:szCs w:val="24"/>
        </w:rPr>
        <w:t>14.7.3结算时实行暂定价的材料和设备的价差仅计取税金，不再计取其他费用。</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14.8本招标工程的施工地点为本须知前附表所述，投标人应自行到施工现场踏勘以充分了解工地位置、情况、道路、储存空间、装卸限制及任何其它足以影响投标报价的情况，任何因忽视或误解施工场地情况而导致的索赔或工期延长申请将不被批准。</w:t>
      </w:r>
      <w:r>
        <w:rPr>
          <w:rFonts w:hint="eastAsia" w:ascii="仿宋_GB2312" w:hAnsi="宋体" w:eastAsia="仿宋_GB2312"/>
          <w:bCs/>
          <w:sz w:val="24"/>
          <w:szCs w:val="24"/>
        </w:rPr>
        <w:t>对于受施工现场场地限制，如需要另外寻找场地解决临时住宿、材料及设备堆放，由此所产生的费用应包含在投标报价范围内，招标人不再承担该费用。</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14.9工程造价的确定与控制</w:t>
      </w:r>
    </w:p>
    <w:p>
      <w:pPr>
        <w:pStyle w:val="26"/>
        <w:spacing w:line="360" w:lineRule="exact"/>
        <w:rPr>
          <w:rFonts w:ascii="仿宋_GB2312" w:hAnsi="宋体" w:eastAsia="仿宋_GB2312"/>
          <w:color w:val="FF0000"/>
          <w:sz w:val="24"/>
          <w:szCs w:val="24"/>
        </w:rPr>
      </w:pPr>
      <w:r>
        <w:rPr>
          <w:rFonts w:hint="eastAsia" w:ascii="仿宋_GB2312" w:hAnsi="宋体" w:eastAsia="仿宋_GB2312"/>
          <w:color w:val="FF0000"/>
          <w:sz w:val="24"/>
          <w:szCs w:val="24"/>
        </w:rPr>
        <w:t>14.9.1本工程经招标定标后，中标人的各分项投标单价即为双方后期结算时执行的固定综合单价，固定综合单价包括但不限于材料设备采购、运送到工地、卸货、储存、多次搬运、起吊、放下、定位、安装、切割、损耗、退回包装等材料设备费、人工费、机械和工具费、管理费、利润、市场价格波动及合同约定风险范围内的一切相关风险费用，除合同另有约定外，无论中标人投标报价时是否存在错漏缺失，均视为中标人在投标报价时已综合考虑，构成合同价款项目的所有综合单价均不作调整（合同条款另有约定的除外）；</w:t>
      </w:r>
    </w:p>
    <w:p>
      <w:pPr>
        <w:pStyle w:val="26"/>
        <w:spacing w:line="360" w:lineRule="exact"/>
        <w:rPr>
          <w:rFonts w:hint="eastAsia" w:ascii="仿宋_GB2312" w:hAnsi="宋体" w:eastAsia="仿宋_GB2312"/>
          <w:color w:val="FF0000"/>
          <w:sz w:val="24"/>
          <w:szCs w:val="24"/>
        </w:rPr>
      </w:pPr>
      <w:r>
        <w:rPr>
          <w:rFonts w:hint="eastAsia" w:ascii="仿宋_GB2312" w:hAnsi="宋体" w:eastAsia="仿宋_GB2312"/>
          <w:color w:val="FF0000"/>
          <w:sz w:val="24"/>
          <w:szCs w:val="24"/>
        </w:rPr>
        <w:t>14.9.2合同履行过程中，需要调整合同价款，增加造价3%（含）以下的由招标人、中标人协商解决；增加造价3%-5%（含）招标人应当报主管部门同意后才能调整合同价款；增加造价5%-10%（含）招标人应当报主管部门同意、行业监督部门备案后才能调整合同价款；增加造价超过中标价10%</w:t>
      </w:r>
      <w:r>
        <w:rPr>
          <w:rFonts w:hint="eastAsia" w:ascii="仿宋_GB2312" w:hAnsi="宋体" w:eastAsia="仿宋_GB2312"/>
          <w:color w:val="FF0000"/>
          <w:sz w:val="24"/>
          <w:szCs w:val="24"/>
          <w:lang w:val="en-US" w:eastAsia="zh-CN"/>
        </w:rPr>
        <w:t>须要单独招标的，招标人应另行组织招标，</w:t>
      </w:r>
      <w:r>
        <w:rPr>
          <w:rFonts w:hint="eastAsia" w:ascii="仿宋_GB2312" w:hAnsi="宋体" w:eastAsia="仿宋_GB2312"/>
          <w:color w:val="FF0000"/>
          <w:sz w:val="24"/>
          <w:szCs w:val="24"/>
        </w:rPr>
        <w:t>增加造价超过中标价10%</w:t>
      </w:r>
      <w:r>
        <w:rPr>
          <w:rFonts w:hint="eastAsia" w:ascii="仿宋_GB2312" w:hAnsi="宋体" w:eastAsia="仿宋_GB2312"/>
          <w:color w:val="FF0000"/>
          <w:sz w:val="24"/>
          <w:szCs w:val="24"/>
          <w:lang w:val="en-US" w:eastAsia="zh-CN"/>
        </w:rPr>
        <w:t>无须招标的，蚌埠市、区政府投资项目须报市政府批准。</w:t>
      </w:r>
    </w:p>
    <w:p>
      <w:pPr>
        <w:pStyle w:val="26"/>
        <w:spacing w:line="360" w:lineRule="exact"/>
        <w:rPr>
          <w:rFonts w:ascii="仿宋_GB2312" w:hAnsi="宋体" w:eastAsia="仿宋_GB2312"/>
          <w:color w:val="FF0000"/>
          <w:sz w:val="24"/>
          <w:szCs w:val="24"/>
        </w:rPr>
      </w:pPr>
      <w:r>
        <w:rPr>
          <w:rFonts w:hint="eastAsia" w:ascii="仿宋_GB2312" w:hAnsi="宋体" w:eastAsia="仿宋_GB2312"/>
          <w:color w:val="FF0000"/>
          <w:sz w:val="24"/>
          <w:szCs w:val="24"/>
        </w:rPr>
        <w:t>14.10本招标工程不接受恶意不平衡报价，不保证最低价中标。</w:t>
      </w:r>
    </w:p>
    <w:p>
      <w:pPr>
        <w:pStyle w:val="26"/>
        <w:spacing w:line="360" w:lineRule="exact"/>
        <w:rPr>
          <w:rFonts w:ascii="黑体" w:hAnsi="宋体" w:eastAsia="黑体"/>
          <w:sz w:val="24"/>
          <w:szCs w:val="24"/>
        </w:rPr>
      </w:pPr>
      <w:r>
        <w:rPr>
          <w:rFonts w:hint="eastAsia" w:ascii="黑体" w:hAnsi="宋体" w:eastAsia="黑体"/>
          <w:sz w:val="24"/>
          <w:szCs w:val="24"/>
        </w:rPr>
        <w:t>15商务标投标文件的工程量清单报价书封面相应位置必须加盖造价专业人员“执业章”。</w:t>
      </w:r>
    </w:p>
    <w:p>
      <w:pPr>
        <w:pStyle w:val="26"/>
        <w:spacing w:line="360" w:lineRule="exact"/>
        <w:rPr>
          <w:rFonts w:ascii="黑体" w:hAnsi="宋体" w:eastAsia="黑体"/>
          <w:bCs/>
          <w:sz w:val="24"/>
          <w:szCs w:val="24"/>
        </w:rPr>
      </w:pPr>
      <w:r>
        <w:rPr>
          <w:rFonts w:hint="eastAsia" w:ascii="黑体" w:hAnsi="宋体" w:eastAsia="黑体"/>
          <w:bCs/>
          <w:sz w:val="24"/>
          <w:szCs w:val="24"/>
        </w:rPr>
        <w:t>16、投标货币：</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本工程投标报价采用的币种为</w:t>
      </w:r>
      <w:r>
        <w:rPr>
          <w:rFonts w:hint="eastAsia" w:ascii="仿宋_GB2312" w:hAnsi="宋体" w:eastAsia="仿宋_GB2312"/>
          <w:sz w:val="24"/>
          <w:szCs w:val="24"/>
          <w:u w:val="single"/>
        </w:rPr>
        <w:t xml:space="preserve">  人民币  </w:t>
      </w:r>
      <w:r>
        <w:rPr>
          <w:rFonts w:hint="eastAsia" w:ascii="仿宋_GB2312" w:hAnsi="宋体" w:eastAsia="仿宋_GB2312"/>
          <w:sz w:val="24"/>
          <w:szCs w:val="24"/>
        </w:rPr>
        <w:t xml:space="preserve">。 </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17、投标有效期</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17.1投标有效期见本须知前附表规定的期限，在此期限内，凡符合本招标文件要求的投标文件均保持有效。</w:t>
      </w:r>
    </w:p>
    <w:p>
      <w:pPr>
        <w:pStyle w:val="26"/>
        <w:spacing w:line="360" w:lineRule="exact"/>
        <w:rPr>
          <w:rFonts w:ascii="仿宋_GB2312" w:hAnsi="宋体" w:eastAsia="仿宋_GB2312"/>
          <w:sz w:val="24"/>
          <w:szCs w:val="24"/>
        </w:rPr>
      </w:pPr>
      <w:permStart w:id="82" w:edGrp="everyone"/>
      <w:r>
        <w:rPr>
          <w:rFonts w:hint="eastAsia" w:ascii="仿宋_GB2312" w:hAnsi="宋体" w:eastAsia="仿宋_GB2312"/>
          <w:sz w:val="24"/>
          <w:szCs w:val="24"/>
        </w:rPr>
        <w:t>17.2在特殊情况下，招标人在原定投标有效期内，可以根据需要以书面形式向投标人提出延长投标有效期的要求，对此要求投标人须以书面（纸质或电子版）形式予以答复。投标人可以拒绝招标人这种要求，而不被没收保证金（含投标保证金），</w:t>
      </w:r>
      <w:r>
        <w:rPr>
          <w:rFonts w:hint="eastAsia" w:ascii="仿宋_GB2312" w:hAnsi="宋体" w:eastAsia="仿宋_GB2312"/>
          <w:bCs/>
          <w:sz w:val="24"/>
          <w:szCs w:val="24"/>
        </w:rPr>
        <w:t>但是对拒绝延长投标有效期的投标单位，招标人有权利拒绝其投标文件。</w:t>
      </w:r>
      <w:r>
        <w:rPr>
          <w:rFonts w:hint="eastAsia" w:ascii="仿宋_GB2312" w:hAnsi="宋体" w:eastAsia="仿宋_GB2312"/>
          <w:sz w:val="24"/>
          <w:szCs w:val="24"/>
        </w:rPr>
        <w:t>同意延长投标有效期的投标人既不能要求也不允许修改其投标文件，但需要相应的延长投标担保的有效期，在延长的投标有效期内本须知第18条关于投标担保的退还与没收的规定仍然适用。</w:t>
      </w:r>
    </w:p>
    <w:permEnd w:id="82"/>
    <w:p>
      <w:pPr>
        <w:pStyle w:val="26"/>
        <w:spacing w:line="360" w:lineRule="exact"/>
        <w:rPr>
          <w:rFonts w:ascii="仿宋_GB2312" w:hAnsi="宋体" w:eastAsia="仿宋_GB2312"/>
          <w:sz w:val="24"/>
          <w:szCs w:val="24"/>
        </w:rPr>
      </w:pPr>
      <w:r>
        <w:rPr>
          <w:rFonts w:hint="eastAsia" w:ascii="仿宋_GB2312" w:hAnsi="宋体" w:eastAsia="仿宋_GB2312"/>
          <w:sz w:val="24"/>
          <w:szCs w:val="24"/>
        </w:rPr>
        <w:t>18、投标担保</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18.1投标人应在本须知前附表规定的时间前提交一笔不少于前附表规定数额的投标担保，并作为其投标文件的一部分。</w:t>
      </w:r>
    </w:p>
    <w:p>
      <w:pPr>
        <w:pStyle w:val="26"/>
        <w:spacing w:line="360" w:lineRule="exact"/>
        <w:rPr>
          <w:rFonts w:ascii="黑体" w:hAnsi="宋体" w:eastAsia="黑体"/>
          <w:bCs/>
          <w:sz w:val="24"/>
          <w:szCs w:val="24"/>
        </w:rPr>
      </w:pPr>
      <w:permStart w:id="83" w:edGrp="everyone"/>
      <w:r>
        <w:rPr>
          <w:rFonts w:hint="eastAsia" w:ascii="黑体" w:hAnsi="宋体" w:eastAsia="黑体"/>
          <w:sz w:val="24"/>
          <w:szCs w:val="24"/>
        </w:rPr>
        <w:t>18.2</w:t>
      </w:r>
      <w:r>
        <w:rPr>
          <w:rFonts w:hint="eastAsia" w:ascii="黑体" w:hAnsi="宋体" w:eastAsia="黑体" w:cs="Times New Roman"/>
          <w:kern w:val="0"/>
          <w:sz w:val="24"/>
          <w:szCs w:val="24"/>
        </w:rPr>
        <w:t>投标人应按要求提交投标担保，本工程投标担保</w:t>
      </w:r>
      <w:r>
        <w:rPr>
          <w:rFonts w:hint="eastAsia" w:ascii="黑体" w:hAnsi="宋体" w:eastAsia="黑体" w:cs="Times New Roman"/>
          <w:kern w:val="0"/>
          <w:sz w:val="24"/>
          <w:szCs w:val="24"/>
          <w:lang w:eastAsia="zh-CN"/>
        </w:rPr>
        <w:t>要求</w:t>
      </w:r>
      <w:r>
        <w:rPr>
          <w:rFonts w:hint="eastAsia" w:ascii="黑体" w:hAnsi="宋体" w:eastAsia="黑体"/>
          <w:sz w:val="24"/>
          <w:szCs w:val="24"/>
        </w:rPr>
        <w:t>详见本须知前附表。任何未按上述规定提交保证金的投标人，将视为自动放弃投标资格。</w:t>
      </w:r>
    </w:p>
    <w:permEnd w:id="83"/>
    <w:p>
      <w:pPr>
        <w:pStyle w:val="26"/>
        <w:spacing w:line="360" w:lineRule="exact"/>
        <w:rPr>
          <w:rFonts w:ascii="仿宋_GB2312" w:hAnsi="宋体" w:eastAsia="仿宋_GB2312"/>
          <w:sz w:val="24"/>
          <w:szCs w:val="24"/>
        </w:rPr>
      </w:pPr>
      <w:r>
        <w:rPr>
          <w:rFonts w:hint="eastAsia" w:ascii="仿宋_GB2312" w:hAnsi="宋体" w:eastAsia="仿宋_GB2312"/>
          <w:sz w:val="24"/>
          <w:szCs w:val="24"/>
        </w:rPr>
        <w:t>18.3对于未能按要求提交投标担保的投标，招标人将视为不响应招标文件而予以拒绝。</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18.4投标人的投标担保将在前附表规定时间内予以退还</w:t>
      </w:r>
      <w:r>
        <w:rPr>
          <w:rFonts w:hint="eastAsia" w:ascii="仿宋_GB2312" w:hAnsi="宋体" w:eastAsia="仿宋_GB2312"/>
          <w:sz w:val="36"/>
          <w:szCs w:val="36"/>
        </w:rPr>
        <w:t>。</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19、投标替代方案</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19.1 投标人所提交的方案应满足招标文件的要求，除非本须知前附表中允许投标人提交替代方案，否则替代方案将不予考虑。如果允许投标人提交替代方案，则执行本须知第19.2条规定。</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19.2如果本须知前附表中允许投标人提交替代方案，则投标人除提交正式投标文件外，还应按照招标文件要求提交替代方案。替代方案应包括设计计算书、技术规范、单价分析表、替代方案报价书、所建议的施工方案等满足评审需要的全部资料。</w:t>
      </w:r>
    </w:p>
    <w:p>
      <w:pPr>
        <w:pStyle w:val="26"/>
        <w:spacing w:line="360" w:lineRule="exact"/>
        <w:rPr>
          <w:rFonts w:ascii="仿宋_GB2312" w:hAnsi="宋体" w:eastAsia="仿宋_GB2312"/>
          <w:color w:val="000000" w:themeColor="text1"/>
          <w:sz w:val="24"/>
          <w:szCs w:val="24"/>
        </w:rPr>
      </w:pPr>
      <w:r>
        <w:rPr>
          <w:rFonts w:ascii="仿宋_GB2312" w:hAnsi="宋体" w:eastAsia="仿宋_GB2312"/>
          <w:color w:val="000000" w:themeColor="text1"/>
          <w:sz w:val="24"/>
          <w:szCs w:val="24"/>
        </w:rPr>
        <w:t>20</w:t>
      </w:r>
      <w:r>
        <w:rPr>
          <w:rFonts w:hint="eastAsia" w:ascii="仿宋_GB2312" w:hAnsi="宋体" w:eastAsia="仿宋_GB2312"/>
          <w:color w:val="000000" w:themeColor="text1"/>
          <w:sz w:val="24"/>
          <w:szCs w:val="24"/>
        </w:rPr>
        <w:t>、投标文件的份数和签署</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20.1 投标人应按本须知前附表规定的份数和招标文件规定的格式，编制并提交投标文件。</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20.2 投标文件的正本和副本均需采用打印或使用不褪色的蓝、黑墨水笔书写，字迹应清晰易于辨认，并应在投标文件封面的右上角清楚地注明“正本”或“副本”。正本和副本如有不一致之处，以正本为准。投标文件“正本”与“副本’字样须使用不能擦去的黑色墨迹打印或书写，若有修改应在修改处加盖投标人法人章</w:t>
      </w:r>
    </w:p>
    <w:p>
      <w:pPr>
        <w:pStyle w:val="26"/>
        <w:spacing w:line="360" w:lineRule="exact"/>
        <w:rPr>
          <w:rFonts w:ascii="仿宋_GB2312" w:hAnsi="宋体" w:eastAsia="仿宋_GB2312"/>
          <w:spacing w:val="-2"/>
          <w:sz w:val="24"/>
          <w:szCs w:val="24"/>
        </w:rPr>
      </w:pPr>
      <w:r>
        <w:rPr>
          <w:rFonts w:hint="eastAsia" w:ascii="仿宋_GB2312" w:hAnsi="宋体" w:eastAsia="仿宋_GB2312"/>
          <w:sz w:val="24"/>
          <w:szCs w:val="24"/>
        </w:rPr>
        <w:t>20.3投标文件封面、投标函、投标报价汇总表、联合体共同投标协议书(若有)均应加盖投标人公章并经法定代表人或其委托代理人签字或加盖印章。由委托代理人签字或盖章的在投标文件中须同时提交投标文件签署授权委托书。投标文件签署授权委托书格式、签字、</w:t>
      </w:r>
      <w:r>
        <w:rPr>
          <w:rFonts w:hint="eastAsia" w:ascii="仿宋_GB2312" w:hAnsi="宋体" w:eastAsia="仿宋_GB2312"/>
          <w:spacing w:val="-2"/>
          <w:sz w:val="24"/>
          <w:szCs w:val="24"/>
        </w:rPr>
        <w:t>盖章及内容均应符合招标文件要求，否则投标文件签署授权委托书无效。以联合体共同投标的须有各成员的合法授权代表签字或盖章和各成员法人印章，并附联合体共同投标协议书。</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20.4 投标人按照本须知第20.3条款规定对其投标文件相关内容签署盖章后，其投标文件所有内容均视为确认，对投标人起约束作用。</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20.5 除投标人对错误处须修改外，全套投标文件应无涂改或行间插字和增删。如有修改，修改处应由投标人加盖投标人的法人印章或由投标文件签字人签字或盖章。投标文件应尽量避免以涂改及行间插字方式进行修改，若投标文件存在涂改及行间插字，招标人不承担任何可能因此而造成的辨识错误</w:t>
      </w:r>
    </w:p>
    <w:p>
      <w:pPr>
        <w:pStyle w:val="3"/>
        <w:spacing w:line="360" w:lineRule="exact"/>
        <w:rPr>
          <w:rFonts w:ascii="仿宋_GB2312" w:hAnsi="宋体" w:eastAsia="仿宋_GB2312"/>
          <w:sz w:val="32"/>
          <w:szCs w:val="32"/>
        </w:rPr>
      </w:pPr>
      <w:bookmarkStart w:id="12" w:name="_Toc208106833"/>
      <w:r>
        <w:rPr>
          <w:rFonts w:hint="eastAsia" w:ascii="仿宋_GB2312" w:hAnsi="宋体" w:eastAsia="仿宋_GB2312"/>
          <w:sz w:val="32"/>
          <w:szCs w:val="32"/>
        </w:rPr>
        <w:t>（五）投标文件的提交</w:t>
      </w:r>
      <w:bookmarkEnd w:id="12"/>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22、投标文件的上传</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22.1投标人应按招标时间安排表中的规定，于截止时间前提交投标文件。</w:t>
      </w:r>
    </w:p>
    <w:p>
      <w:pPr>
        <w:pStyle w:val="26"/>
        <w:spacing w:line="360" w:lineRule="exact"/>
        <w:rPr>
          <w:rFonts w:ascii="仿宋_GB2312" w:hAnsi="宋体" w:eastAsia="仿宋_GB2312"/>
          <w:b/>
          <w:sz w:val="24"/>
          <w:szCs w:val="24"/>
        </w:rPr>
      </w:pPr>
      <w:r>
        <w:rPr>
          <w:rFonts w:hint="eastAsia" w:ascii="仿宋_GB2312" w:hAnsi="宋体" w:eastAsia="仿宋_GB2312"/>
          <w:sz w:val="24"/>
          <w:szCs w:val="24"/>
        </w:rPr>
        <w:t>22.2 投标文件提交的截止时间见招标时间安排表的规定。</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22.3 招标人可按本须知第9、10条款规定以澄清或修改、补充通知的方式，酌情延长提交投标文件的截止时间。在此情况下，投标人的所有权利和义务以及投标人受制约的截止时间，均以延长后新的投标截止时间为准。</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23、迟交的投标文件</w:t>
      </w:r>
    </w:p>
    <w:p>
      <w:pPr>
        <w:pStyle w:val="26"/>
        <w:spacing w:line="360" w:lineRule="exact"/>
        <w:rPr>
          <w:rFonts w:ascii="仿宋_GB2312" w:hAnsi="宋体" w:eastAsia="仿宋_GB2312"/>
          <w:sz w:val="24"/>
          <w:szCs w:val="24"/>
        </w:rPr>
      </w:pPr>
      <w:r>
        <w:rPr>
          <w:rFonts w:hint="eastAsia" w:ascii="仿宋_GB2312" w:hAnsi="宋体" w:eastAsia="仿宋_GB2312"/>
          <w:sz w:val="24"/>
          <w:szCs w:val="20"/>
        </w:rPr>
        <w:t>投标人没有在规定的时间上传投标文件的，按前附表约定执行。</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24、 在投标截止时间之后，投标人不得补充、修改投标文件。</w:t>
      </w:r>
    </w:p>
    <w:p>
      <w:pPr>
        <w:pStyle w:val="3"/>
        <w:spacing w:line="360" w:lineRule="exact"/>
        <w:rPr>
          <w:rFonts w:ascii="仿宋_GB2312" w:hAnsi="宋体" w:eastAsia="仿宋_GB2312"/>
          <w:sz w:val="32"/>
          <w:szCs w:val="32"/>
        </w:rPr>
      </w:pPr>
      <w:bookmarkStart w:id="13" w:name="_Toc208106834"/>
      <w:bookmarkStart w:id="14" w:name="_Toc200336335"/>
      <w:r>
        <w:rPr>
          <w:rFonts w:hint="eastAsia" w:ascii="仿宋_GB2312" w:hAnsi="宋体" w:eastAsia="仿宋_GB2312"/>
          <w:sz w:val="32"/>
          <w:szCs w:val="32"/>
        </w:rPr>
        <w:t>（六）开标</w:t>
      </w:r>
      <w:bookmarkEnd w:id="13"/>
      <w:bookmarkEnd w:id="14"/>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25、开标</w:t>
      </w:r>
    </w:p>
    <w:p>
      <w:pPr>
        <w:pStyle w:val="26"/>
        <w:spacing w:line="360" w:lineRule="exact"/>
        <w:rPr>
          <w:rFonts w:ascii="仿宋_GB2312" w:hAnsi="宋体" w:eastAsia="仿宋_GB2312"/>
          <w:bCs/>
          <w:sz w:val="24"/>
          <w:szCs w:val="24"/>
        </w:rPr>
      </w:pPr>
      <w:r>
        <w:rPr>
          <w:rFonts w:hint="eastAsia" w:ascii="仿宋_GB2312" w:hAnsi="宋体" w:eastAsia="仿宋_GB2312"/>
          <w:bCs/>
          <w:sz w:val="24"/>
          <w:szCs w:val="24"/>
        </w:rPr>
        <w:t>25.1招标人按规定的时间和地点公开开标。</w:t>
      </w:r>
    </w:p>
    <w:p>
      <w:pPr>
        <w:pStyle w:val="26"/>
        <w:spacing w:line="360" w:lineRule="exact"/>
        <w:rPr>
          <w:rFonts w:ascii="仿宋_GB2312" w:hAnsi="宋体" w:eastAsia="仿宋_GB2312"/>
          <w:bCs/>
          <w:sz w:val="24"/>
          <w:szCs w:val="24"/>
        </w:rPr>
      </w:pPr>
      <w:r>
        <w:rPr>
          <w:rFonts w:hint="eastAsia" w:ascii="仿宋_GB2312" w:hAnsi="宋体" w:eastAsia="仿宋_GB2312"/>
          <w:bCs/>
          <w:sz w:val="24"/>
          <w:szCs w:val="24"/>
        </w:rPr>
        <w:t>25.2按规定提交合格的撤回通知的投标文件不予开封，并退回给投标人；按本须知第26条规定确定为无效的投标文件，不予送交评审。</w:t>
      </w:r>
    </w:p>
    <w:p>
      <w:pPr>
        <w:pStyle w:val="26"/>
        <w:spacing w:line="360" w:lineRule="exact"/>
        <w:rPr>
          <w:rFonts w:ascii="黑体" w:hAnsi="宋体" w:eastAsia="黑体"/>
          <w:bCs/>
          <w:sz w:val="24"/>
          <w:szCs w:val="24"/>
        </w:rPr>
      </w:pPr>
      <w:r>
        <w:rPr>
          <w:rFonts w:hint="eastAsia" w:ascii="仿宋_GB2312" w:hAnsi="宋体" w:eastAsia="仿宋_GB2312"/>
          <w:bCs/>
          <w:sz w:val="24"/>
          <w:szCs w:val="24"/>
        </w:rPr>
        <w:t>25.3</w:t>
      </w:r>
      <w:r>
        <w:rPr>
          <w:rFonts w:hint="eastAsia" w:ascii="仿宋_GB2312" w:hAnsi="宋体" w:eastAsia="仿宋_GB2312"/>
          <w:bCs/>
          <w:sz w:val="24"/>
        </w:rPr>
        <w:t>投标人必须保证其标书中所有资料的真实性。若发现投标人有弄虚作假行为的，</w:t>
      </w:r>
      <w:r>
        <w:rPr>
          <w:rFonts w:hint="eastAsia" w:ascii="黑体" w:hAnsi="宋体" w:eastAsia="黑体"/>
          <w:kern w:val="0"/>
          <w:sz w:val="24"/>
        </w:rPr>
        <w:t>由相关管理部门依法处理，并记不良记录</w:t>
      </w:r>
      <w:r>
        <w:rPr>
          <w:rFonts w:hint="eastAsia" w:ascii="仿宋_GB2312" w:hAnsi="宋体" w:eastAsia="仿宋_GB2312"/>
          <w:bCs/>
          <w:sz w:val="24"/>
        </w:rPr>
        <w:t>，</w:t>
      </w:r>
      <w:r>
        <w:rPr>
          <w:rFonts w:hint="eastAsia" w:ascii="黑体" w:hAnsi="宋体" w:eastAsia="黑体"/>
          <w:kern w:val="0"/>
          <w:sz w:val="24"/>
        </w:rPr>
        <w:t>若中标的，中标无效。</w:t>
      </w:r>
    </w:p>
    <w:p>
      <w:pPr>
        <w:pStyle w:val="26"/>
        <w:spacing w:line="360" w:lineRule="exact"/>
        <w:rPr>
          <w:rFonts w:ascii="仿宋_GB2312" w:hAnsi="宋体" w:eastAsia="仿宋_GB2312"/>
          <w:bCs/>
          <w:sz w:val="24"/>
          <w:szCs w:val="24"/>
        </w:rPr>
      </w:pPr>
      <w:r>
        <w:rPr>
          <w:rFonts w:hint="eastAsia" w:ascii="仿宋_GB2312" w:hAnsi="宋体" w:eastAsia="仿宋_GB2312"/>
          <w:bCs/>
          <w:sz w:val="24"/>
          <w:szCs w:val="24"/>
        </w:rPr>
        <w:t>25.4开标由招标人或招标代理机构主持，主持人并按下列程序进行：</w:t>
      </w:r>
    </w:p>
    <w:p>
      <w:pPr>
        <w:pStyle w:val="26"/>
        <w:spacing w:line="360" w:lineRule="exact"/>
        <w:rPr>
          <w:rFonts w:ascii="仿宋_GB2312" w:hAnsi="宋体" w:eastAsia="仿宋_GB2312"/>
          <w:bCs/>
          <w:sz w:val="24"/>
          <w:szCs w:val="24"/>
        </w:rPr>
      </w:pPr>
      <w:r>
        <w:rPr>
          <w:rFonts w:hint="eastAsia" w:ascii="仿宋_GB2312" w:hAnsi="宋体" w:eastAsia="仿宋_GB2312"/>
          <w:bCs/>
          <w:sz w:val="24"/>
          <w:szCs w:val="24"/>
        </w:rPr>
        <w:t>25.4.1宣布开标纪律；</w:t>
      </w:r>
    </w:p>
    <w:p>
      <w:pPr>
        <w:pStyle w:val="26"/>
        <w:spacing w:line="360" w:lineRule="exact"/>
        <w:rPr>
          <w:rFonts w:ascii="仿宋_GB2312" w:hAnsi="宋体" w:eastAsia="仿宋_GB2312"/>
          <w:bCs/>
          <w:sz w:val="24"/>
          <w:szCs w:val="24"/>
        </w:rPr>
      </w:pPr>
      <w:r>
        <w:rPr>
          <w:rFonts w:hint="eastAsia" w:ascii="仿宋_GB2312" w:hAnsi="宋体" w:eastAsia="仿宋_GB2312"/>
          <w:bCs/>
          <w:sz w:val="24"/>
          <w:szCs w:val="24"/>
        </w:rPr>
        <w:t>25.4.2 公布在投标截止时间前递交投标文件的投标人名称，并点名确认投标人是否派人到场；</w:t>
      </w:r>
    </w:p>
    <w:p>
      <w:pPr>
        <w:pStyle w:val="26"/>
        <w:spacing w:line="360" w:lineRule="exact"/>
        <w:rPr>
          <w:rFonts w:ascii="仿宋_GB2312" w:hAnsi="宋体" w:eastAsia="仿宋_GB2312"/>
          <w:bCs/>
          <w:sz w:val="24"/>
          <w:szCs w:val="24"/>
        </w:rPr>
      </w:pPr>
      <w:r>
        <w:rPr>
          <w:rFonts w:hint="eastAsia" w:ascii="仿宋_GB2312" w:hAnsi="宋体" w:eastAsia="仿宋_GB2312"/>
          <w:bCs/>
          <w:sz w:val="24"/>
          <w:szCs w:val="24"/>
        </w:rPr>
        <w:t>25.4.3宣布开标人、唱标人、记录人、监标人等有关人员姓名；</w:t>
      </w:r>
    </w:p>
    <w:p>
      <w:pPr>
        <w:pStyle w:val="26"/>
        <w:spacing w:line="360" w:lineRule="exact"/>
        <w:rPr>
          <w:rFonts w:ascii="仿宋_GB2312" w:hAnsi="宋体" w:eastAsia="仿宋_GB2312"/>
          <w:bCs/>
          <w:sz w:val="24"/>
          <w:szCs w:val="24"/>
        </w:rPr>
      </w:pPr>
      <w:r>
        <w:rPr>
          <w:rFonts w:hint="eastAsia" w:ascii="仿宋_GB2312" w:hAnsi="宋体" w:eastAsia="仿宋_GB2312"/>
          <w:bCs/>
          <w:sz w:val="24"/>
          <w:szCs w:val="24"/>
        </w:rPr>
        <w:t>25.4.4按照投标人须知前附表规定检查投标文件的密封情况；</w:t>
      </w:r>
    </w:p>
    <w:p>
      <w:pPr>
        <w:pStyle w:val="26"/>
        <w:spacing w:line="360" w:lineRule="exact"/>
        <w:rPr>
          <w:rFonts w:ascii="仿宋_GB2312" w:hAnsi="宋体" w:eastAsia="仿宋_GB2312"/>
          <w:bCs/>
          <w:sz w:val="24"/>
          <w:szCs w:val="24"/>
        </w:rPr>
      </w:pPr>
      <w:r>
        <w:rPr>
          <w:rFonts w:hint="eastAsia" w:ascii="仿宋_GB2312" w:hAnsi="宋体" w:eastAsia="仿宋_GB2312"/>
          <w:bCs/>
          <w:sz w:val="24"/>
          <w:szCs w:val="24"/>
        </w:rPr>
        <w:t>25.4.5按招标文件要求，评标委员会对所有投标人的资格审查文件进行评审并向各投标人宣布资格评审结果；</w:t>
      </w:r>
    </w:p>
    <w:p>
      <w:pPr>
        <w:pStyle w:val="26"/>
        <w:spacing w:line="360" w:lineRule="exact"/>
        <w:rPr>
          <w:rFonts w:ascii="仿宋_GB2312" w:hAnsi="宋体" w:eastAsia="仿宋_GB2312"/>
          <w:bCs/>
          <w:sz w:val="24"/>
          <w:szCs w:val="24"/>
        </w:rPr>
      </w:pPr>
      <w:r>
        <w:rPr>
          <w:rFonts w:hint="eastAsia" w:ascii="仿宋_GB2312" w:hAnsi="宋体" w:eastAsia="仿宋_GB2312"/>
          <w:bCs/>
          <w:sz w:val="24"/>
          <w:szCs w:val="24"/>
        </w:rPr>
        <w:t>25.4.6 设有控制价或拦标价的，公布控制价或拦标价；</w:t>
      </w:r>
    </w:p>
    <w:p>
      <w:pPr>
        <w:pStyle w:val="26"/>
        <w:spacing w:line="360" w:lineRule="exact"/>
        <w:rPr>
          <w:rFonts w:ascii="仿宋_GB2312" w:hAnsi="宋体" w:eastAsia="仿宋_GB2312"/>
          <w:bCs/>
          <w:sz w:val="24"/>
          <w:szCs w:val="24"/>
        </w:rPr>
      </w:pPr>
      <w:permStart w:id="84" w:edGrp="everyone"/>
      <w:r>
        <w:rPr>
          <w:rFonts w:hint="eastAsia" w:ascii="仿宋_GB2312" w:hAnsi="宋体" w:eastAsia="仿宋_GB2312"/>
          <w:bCs/>
          <w:sz w:val="24"/>
          <w:szCs w:val="24"/>
        </w:rPr>
        <w:t>25.4.7 按照宣布的开标顺序当众开标，公布投标人名称、标段名称的递交情况、投标报价、质量目标、工期及其他内容，并记录在案；</w:t>
      </w:r>
    </w:p>
    <w:permEnd w:id="84"/>
    <w:p>
      <w:pPr>
        <w:pStyle w:val="26"/>
        <w:spacing w:line="360" w:lineRule="exact"/>
        <w:rPr>
          <w:rFonts w:ascii="仿宋_GB2312" w:hAnsi="宋体" w:eastAsia="仿宋_GB2312"/>
          <w:bCs/>
          <w:sz w:val="24"/>
          <w:szCs w:val="24"/>
        </w:rPr>
      </w:pPr>
      <w:r>
        <w:rPr>
          <w:rFonts w:hint="eastAsia" w:ascii="仿宋_GB2312" w:hAnsi="宋体" w:eastAsia="仿宋_GB2312"/>
          <w:bCs/>
          <w:sz w:val="24"/>
          <w:szCs w:val="24"/>
        </w:rPr>
        <w:t>25.4.8投标人代表、招标人代表、监标人、记录人等有关人员在开标记录上签字确认；</w:t>
      </w:r>
    </w:p>
    <w:p>
      <w:pPr>
        <w:pStyle w:val="26"/>
        <w:spacing w:line="360" w:lineRule="exact"/>
        <w:rPr>
          <w:rFonts w:ascii="仿宋_GB2312" w:hAnsi="宋体" w:eastAsia="仿宋_GB2312"/>
          <w:bCs/>
          <w:sz w:val="24"/>
          <w:szCs w:val="24"/>
        </w:rPr>
      </w:pPr>
      <w:r>
        <w:rPr>
          <w:rFonts w:hint="eastAsia" w:ascii="仿宋_GB2312" w:hAnsi="宋体" w:eastAsia="仿宋_GB2312"/>
          <w:bCs/>
          <w:sz w:val="24"/>
          <w:szCs w:val="24"/>
        </w:rPr>
        <w:t>25.4.9开标结束。</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25.5招标人或其委托的招标代理机构对开标过程进行记录，并存档备查。</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26、投标文件的有效性</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 xml:space="preserve">投标文件有下列情形之一的，招标人将不予受理： </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 xml:space="preserve">（一）逾期送达的或者未送达指定地点的； </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（二）未按招标文件要求上传电子投标文件的。</w:t>
      </w:r>
    </w:p>
    <w:p>
      <w:pPr>
        <w:pStyle w:val="3"/>
        <w:spacing w:line="360" w:lineRule="exact"/>
        <w:rPr>
          <w:rFonts w:ascii="仿宋_GB2312" w:hAnsi="宋体" w:eastAsia="仿宋_GB2312"/>
          <w:sz w:val="32"/>
          <w:szCs w:val="32"/>
        </w:rPr>
      </w:pPr>
      <w:bookmarkStart w:id="15" w:name="_Toc208106835"/>
      <w:bookmarkStart w:id="16" w:name="_Toc200336336"/>
      <w:r>
        <w:rPr>
          <w:rFonts w:hint="eastAsia" w:ascii="仿宋_GB2312" w:hAnsi="宋体" w:eastAsia="仿宋_GB2312"/>
          <w:sz w:val="32"/>
          <w:szCs w:val="32"/>
        </w:rPr>
        <w:t>（七）评标、定标</w:t>
      </w:r>
      <w:bookmarkEnd w:id="15"/>
      <w:bookmarkEnd w:id="16"/>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27、评标委员会与评标</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27.1 评标委员会由招标人及招标代理机构依法组建，评标委员会的专家成员将从招投标监督管理机构提供的评标专家库中采用电脑随机抽签方式确定，评标活动由评标委员会负责。</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27.2 开标结束后，开始评标，评标采用保密方式进行。</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27.3 本工程评标定标程序、标准、方法详见本须知第34条规定。</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28、评标过程的保密</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28.1开标后，直至授予中标人合同为止，凡属于对投标文件的审查、澄清、评价和比较的有关资料以及中标候选人的推荐情况，与评标有关的其他任何情况均严格保密。</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28.2 在投标文件的评审和比较、中标候选人推荐以及授予合同的过程中，投标人向招标人和评标委员会施加影响的任何行为，都将会导致其投标被拒绝。</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28.3中标人确定后，招标人不对未中标人就评标过程以及未能中标原因作出任何解释。未中标人不得向评标委员会组成人员或其他有关人员索问评标过程的情况和材料。</w:t>
      </w:r>
    </w:p>
    <w:p>
      <w:pPr>
        <w:pStyle w:val="26"/>
        <w:spacing w:line="360" w:lineRule="exact"/>
        <w:rPr>
          <w:rFonts w:ascii="仿宋_GB2312" w:hAnsi="宋体" w:eastAsia="仿宋_GB2312"/>
          <w:b/>
          <w:sz w:val="24"/>
          <w:szCs w:val="24"/>
        </w:rPr>
      </w:pPr>
      <w:r>
        <w:rPr>
          <w:rFonts w:hint="eastAsia" w:ascii="仿宋_GB2312" w:hAnsi="宋体" w:eastAsia="仿宋_GB2312"/>
          <w:b/>
          <w:sz w:val="24"/>
          <w:szCs w:val="24"/>
        </w:rPr>
        <w:t>29、投标文件的澄清</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29.1 为有助于投标文件的审查、评价和比较，评标委员会可以以书面形式要求投标人对投标文件含义不明确的内容作必要的澄清或说明，投标人应采用书面形式进行澄清或说明，但不得超出投标文件的范围或改变投标文件的实质性内容。根据本须知第31条规定，凡属于评标委员会在评标中发现的计算错误进行核实的修改不在此列。</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29.2 有下列情形之一的，在评标现场评标时，评标委员会可以要求投标人当场作出书面说明并提供相关材料：</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　（一）设有</w:t>
      </w:r>
      <w:r>
        <w:rPr>
          <w:rFonts w:hint="eastAsia" w:ascii="仿宋_GB2312" w:hAnsi="宋体" w:eastAsia="仿宋_GB2312"/>
          <w:bCs/>
          <w:sz w:val="24"/>
          <w:szCs w:val="24"/>
        </w:rPr>
        <w:t>控制价</w:t>
      </w:r>
      <w:r>
        <w:rPr>
          <w:rFonts w:hint="eastAsia" w:ascii="仿宋_GB2312" w:hAnsi="宋体" w:eastAsia="仿宋_GB2312"/>
          <w:sz w:val="24"/>
          <w:szCs w:val="24"/>
        </w:rPr>
        <w:t>的，投标报价低于</w:t>
      </w:r>
      <w:r>
        <w:rPr>
          <w:rFonts w:hint="eastAsia" w:ascii="仿宋_GB2312" w:hAnsi="宋体" w:eastAsia="仿宋_GB2312"/>
          <w:bCs/>
          <w:sz w:val="24"/>
          <w:szCs w:val="24"/>
        </w:rPr>
        <w:t>控制价</w:t>
      </w:r>
      <w:r>
        <w:rPr>
          <w:rFonts w:hint="eastAsia" w:ascii="仿宋_GB2312" w:hAnsi="宋体" w:eastAsia="仿宋_GB2312"/>
          <w:sz w:val="24"/>
          <w:szCs w:val="24"/>
        </w:rPr>
        <w:t>合理幅度的；</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　（二）不设</w:t>
      </w:r>
      <w:r>
        <w:rPr>
          <w:rFonts w:hint="eastAsia" w:ascii="仿宋_GB2312" w:hAnsi="宋体" w:eastAsia="仿宋_GB2312"/>
          <w:bCs/>
          <w:sz w:val="24"/>
          <w:szCs w:val="24"/>
        </w:rPr>
        <w:t>控制价</w:t>
      </w:r>
      <w:r>
        <w:rPr>
          <w:rFonts w:hint="eastAsia" w:ascii="仿宋_GB2312" w:hAnsi="宋体" w:eastAsia="仿宋_GB2312"/>
          <w:sz w:val="24"/>
          <w:szCs w:val="24"/>
        </w:rPr>
        <w:t>的，投标报价明显低于其他投标报价，有可能低于其企业成本的。</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经评标委员会论证，认定该投标人的报价低于其企业成本的，不能推荐为中标候选人或者中标人。</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30、投标文件的评审程序</w:t>
      </w:r>
    </w:p>
    <w:p>
      <w:pPr>
        <w:pStyle w:val="26"/>
        <w:spacing w:line="360" w:lineRule="exact"/>
        <w:rPr>
          <w:rFonts w:ascii="仿宋_GB2312" w:hAnsi="宋体" w:eastAsia="仿宋_GB2312"/>
          <w:sz w:val="24"/>
          <w:szCs w:val="24"/>
        </w:rPr>
      </w:pPr>
      <w:r>
        <w:rPr>
          <w:rFonts w:hint="eastAsia" w:ascii="仿宋_GB2312" w:hAnsi="宋体" w:eastAsia="仿宋_GB2312"/>
          <w:bCs/>
          <w:sz w:val="24"/>
          <w:szCs w:val="24"/>
        </w:rPr>
        <w:t>30.1</w:t>
      </w:r>
      <w:r>
        <w:rPr>
          <w:rFonts w:hint="eastAsia" w:ascii="仿宋_GB2312" w:hAnsi="宋体" w:eastAsia="仿宋_GB2312"/>
          <w:sz w:val="24"/>
          <w:szCs w:val="24"/>
        </w:rPr>
        <w:t>评标委员会应当根据招标文件有关规定，审查并逐项列出投标文件的全部投标偏差。投标偏差分重大偏差和细微偏差。</w:t>
      </w:r>
    </w:p>
    <w:p>
      <w:pPr>
        <w:pStyle w:val="26"/>
        <w:spacing w:line="360" w:lineRule="exact"/>
        <w:rPr>
          <w:rFonts w:ascii="仿宋_GB2312" w:hAnsi="宋体" w:eastAsia="仿宋_GB2312"/>
          <w:sz w:val="24"/>
          <w:szCs w:val="24"/>
        </w:rPr>
      </w:pPr>
      <w:r>
        <w:rPr>
          <w:rFonts w:hint="eastAsia" w:ascii="仿宋_GB2312" w:hAnsi="宋体" w:eastAsia="仿宋_GB2312"/>
          <w:bCs/>
          <w:sz w:val="24"/>
          <w:szCs w:val="24"/>
        </w:rPr>
        <w:t>30.2</w:t>
      </w:r>
      <w:r>
        <w:rPr>
          <w:rFonts w:hint="eastAsia" w:ascii="仿宋_GB2312" w:hAnsi="宋体" w:eastAsia="仿宋_GB2312"/>
          <w:sz w:val="24"/>
          <w:szCs w:val="24"/>
        </w:rPr>
        <w:t>投标偏差的界定和评审</w:t>
      </w:r>
    </w:p>
    <w:p>
      <w:pPr>
        <w:ind w:firstLine="470" w:firstLineChars="196"/>
        <w:rPr>
          <w:rFonts w:ascii="宋体" w:hAnsi="宋体"/>
          <w:sz w:val="24"/>
        </w:rPr>
      </w:pPr>
      <w:r>
        <w:rPr>
          <w:rFonts w:hint="eastAsia" w:ascii="宋体" w:hAnsi="宋体"/>
          <w:sz w:val="24"/>
        </w:rPr>
        <w:t>投标文件有下列情形之一的，由评标委员会评审后按废标处理：</w:t>
      </w:r>
    </w:p>
    <w:p>
      <w:pPr>
        <w:ind w:firstLine="470" w:firstLineChars="196"/>
        <w:rPr>
          <w:rFonts w:ascii="宋体" w:hAnsi="宋体"/>
          <w:sz w:val="24"/>
        </w:rPr>
      </w:pPr>
      <w:r>
        <w:rPr>
          <w:rFonts w:hint="eastAsia" w:ascii="宋体" w:hAnsi="宋体"/>
          <w:sz w:val="24"/>
        </w:rPr>
        <w:t>30.2.1没有按照招标文件要求缴纳投标保证金</w:t>
      </w:r>
      <w:permStart w:id="85" w:edGrp="everyone"/>
      <w:r>
        <w:rPr>
          <w:rFonts w:hint="eastAsia" w:ascii="宋体" w:hAnsi="宋体"/>
          <w:sz w:val="24"/>
        </w:rPr>
        <w:t>、招标文件费用</w:t>
      </w:r>
      <w:permEnd w:id="85"/>
      <w:r>
        <w:rPr>
          <w:rFonts w:hint="eastAsia" w:ascii="宋体" w:hAnsi="宋体"/>
          <w:sz w:val="24"/>
        </w:rPr>
        <w:t>；</w:t>
      </w:r>
    </w:p>
    <w:p>
      <w:pPr>
        <w:ind w:firstLine="470" w:firstLineChars="196"/>
        <w:rPr>
          <w:rFonts w:ascii="宋体" w:hAnsi="宋体"/>
          <w:sz w:val="24"/>
        </w:rPr>
      </w:pPr>
      <w:r>
        <w:rPr>
          <w:rFonts w:hint="eastAsia" w:ascii="宋体" w:hAnsi="宋体"/>
          <w:sz w:val="24"/>
        </w:rPr>
        <w:t xml:space="preserve">30.2.2投标文件无投标人的企业及企业法定代表人签章的； </w:t>
      </w:r>
    </w:p>
    <w:p>
      <w:pPr>
        <w:ind w:firstLine="470" w:firstLineChars="196"/>
        <w:rPr>
          <w:rFonts w:ascii="宋体" w:hAnsi="宋体"/>
          <w:sz w:val="24"/>
        </w:rPr>
      </w:pPr>
      <w:r>
        <w:rPr>
          <w:rFonts w:hint="eastAsia" w:ascii="宋体" w:hAnsi="宋体"/>
          <w:sz w:val="24"/>
        </w:rPr>
        <w:t>30.2.3投标文件载明的招标项目完成期限超过招标文件规定的期限；</w:t>
      </w:r>
    </w:p>
    <w:p>
      <w:pPr>
        <w:ind w:firstLine="470" w:firstLineChars="196"/>
        <w:rPr>
          <w:rFonts w:ascii="宋体" w:hAnsi="宋体"/>
          <w:sz w:val="24"/>
        </w:rPr>
      </w:pPr>
      <w:r>
        <w:rPr>
          <w:rFonts w:hint="eastAsia" w:ascii="宋体" w:hAnsi="宋体"/>
          <w:sz w:val="24"/>
        </w:rPr>
        <w:t>30.2.4明显不符合技术规范、技术标准的要求；</w:t>
      </w:r>
    </w:p>
    <w:p>
      <w:pPr>
        <w:ind w:firstLine="470" w:firstLineChars="196"/>
        <w:rPr>
          <w:rFonts w:ascii="宋体" w:hAnsi="宋体"/>
          <w:sz w:val="24"/>
        </w:rPr>
      </w:pPr>
      <w:r>
        <w:rPr>
          <w:rFonts w:hint="eastAsia" w:ascii="宋体" w:hAnsi="宋体"/>
          <w:sz w:val="24"/>
        </w:rPr>
        <w:t>30.2.5投标文件载明的检验标准和方法等不符合招标文件的要求；</w:t>
      </w:r>
    </w:p>
    <w:p>
      <w:pPr>
        <w:ind w:firstLine="470" w:firstLineChars="196"/>
        <w:rPr>
          <w:rFonts w:ascii="宋体" w:hAnsi="宋体"/>
          <w:sz w:val="24"/>
        </w:rPr>
      </w:pPr>
      <w:r>
        <w:rPr>
          <w:rFonts w:hint="eastAsia" w:ascii="宋体" w:hAnsi="宋体"/>
          <w:sz w:val="24"/>
        </w:rPr>
        <w:t>30.2.6投标文件附有招标人不能接受的条件或提供虚假材料的；</w:t>
      </w:r>
    </w:p>
    <w:p>
      <w:pPr>
        <w:ind w:firstLine="470" w:firstLineChars="196"/>
        <w:rPr>
          <w:rFonts w:ascii="宋体" w:hAnsi="宋体"/>
          <w:sz w:val="24"/>
        </w:rPr>
      </w:pPr>
      <w:r>
        <w:rPr>
          <w:rFonts w:hint="eastAsia" w:ascii="宋体" w:hAnsi="宋体"/>
          <w:sz w:val="24"/>
        </w:rPr>
        <w:t>30.2.7不符合招标文件中规定的其他实质性要求的;</w:t>
      </w:r>
    </w:p>
    <w:p>
      <w:pPr>
        <w:ind w:firstLine="470" w:firstLineChars="196"/>
        <w:rPr>
          <w:rFonts w:ascii="宋体" w:hAnsi="宋体"/>
          <w:sz w:val="24"/>
        </w:rPr>
      </w:pPr>
      <w:r>
        <w:rPr>
          <w:rFonts w:hint="eastAsia" w:ascii="宋体" w:hAnsi="宋体"/>
          <w:sz w:val="24"/>
        </w:rPr>
        <w:t>30.2.8投标文件内容不全，关键内容字迹模糊、难以辨认或未按规定格式填写的；</w:t>
      </w:r>
    </w:p>
    <w:p>
      <w:pPr>
        <w:ind w:firstLine="470" w:firstLineChars="196"/>
        <w:rPr>
          <w:rFonts w:ascii="宋体" w:hAnsi="宋体"/>
          <w:sz w:val="24"/>
        </w:rPr>
      </w:pPr>
      <w:r>
        <w:rPr>
          <w:rFonts w:hint="eastAsia" w:ascii="宋体" w:hAnsi="宋体"/>
          <w:sz w:val="24"/>
        </w:rPr>
        <w:t>30.2.9投标人对同一招标项目递交两份或多份内容不同的投标文件，或对同一招标项目有两个或多个投标报价，且未声明哪一份有效的；</w:t>
      </w:r>
    </w:p>
    <w:p>
      <w:pPr>
        <w:ind w:firstLine="470" w:firstLineChars="196"/>
        <w:rPr>
          <w:rFonts w:ascii="宋体" w:hAnsi="宋体"/>
          <w:sz w:val="24"/>
        </w:rPr>
      </w:pPr>
      <w:r>
        <w:rPr>
          <w:rFonts w:hint="eastAsia" w:ascii="宋体" w:hAnsi="宋体"/>
          <w:sz w:val="24"/>
        </w:rPr>
        <w:t>30.2.10拟负责本项目的注册建造师非投标单位人员的；</w:t>
      </w:r>
    </w:p>
    <w:p>
      <w:pPr>
        <w:ind w:firstLine="470" w:firstLineChars="196"/>
        <w:rPr>
          <w:rFonts w:ascii="宋体" w:hAnsi="宋体"/>
          <w:sz w:val="24"/>
        </w:rPr>
      </w:pPr>
      <w:r>
        <w:rPr>
          <w:rFonts w:hint="eastAsia" w:ascii="宋体" w:hAnsi="宋体"/>
          <w:sz w:val="24"/>
        </w:rPr>
        <w:t>30.2.11投标文件中所采取的技术措施经评委会判定不可行的；</w:t>
      </w:r>
    </w:p>
    <w:p>
      <w:pPr>
        <w:ind w:firstLine="470" w:firstLineChars="196"/>
        <w:rPr>
          <w:rFonts w:ascii="宋体" w:hAnsi="宋体"/>
          <w:sz w:val="24"/>
        </w:rPr>
      </w:pPr>
      <w:r>
        <w:rPr>
          <w:rFonts w:hint="eastAsia" w:ascii="宋体" w:hAnsi="宋体"/>
          <w:sz w:val="24"/>
        </w:rPr>
        <w:t>30.2.12投标文件中的其它重大偏差（包括缺项，漏项）：</w:t>
      </w:r>
    </w:p>
    <w:p>
      <w:pPr>
        <w:ind w:firstLine="470" w:firstLineChars="196"/>
        <w:rPr>
          <w:rFonts w:ascii="宋体" w:hAnsi="宋体"/>
          <w:sz w:val="24"/>
        </w:rPr>
      </w:pPr>
      <w:r>
        <w:rPr>
          <w:rFonts w:hint="eastAsia" w:ascii="宋体" w:hAnsi="宋体"/>
          <w:sz w:val="24"/>
        </w:rPr>
        <w:t>⑴投标报价高于或等于控制价的；</w:t>
      </w:r>
    </w:p>
    <w:p>
      <w:pPr>
        <w:ind w:firstLine="470" w:firstLineChars="196"/>
        <w:rPr>
          <w:rFonts w:ascii="宋体" w:hAnsi="宋体"/>
          <w:sz w:val="24"/>
        </w:rPr>
      </w:pPr>
      <w:r>
        <w:rPr>
          <w:rFonts w:hint="eastAsia" w:ascii="宋体" w:hAnsi="宋体"/>
          <w:sz w:val="24"/>
        </w:rPr>
        <w:t>⑵低于企业成本价投标报价;</w:t>
      </w:r>
    </w:p>
    <w:p>
      <w:pPr>
        <w:ind w:firstLine="470" w:firstLineChars="196"/>
        <w:rPr>
          <w:rFonts w:ascii="宋体" w:hAnsi="宋体"/>
          <w:sz w:val="24"/>
        </w:rPr>
      </w:pPr>
      <w:r>
        <w:rPr>
          <w:rFonts w:hint="eastAsia" w:ascii="宋体" w:hAnsi="宋体"/>
          <w:sz w:val="24"/>
        </w:rPr>
        <w:t>⑶投标人拒不按照要求对投标文件进行澄清、说明、补正的，或评标委员会根据招标文件的规定对投标文件的计算错误进行修正后，投标人不接受修正后的投标报价的。</w:t>
      </w:r>
    </w:p>
    <w:p>
      <w:pPr>
        <w:ind w:firstLine="470" w:firstLineChars="196"/>
        <w:rPr>
          <w:rFonts w:ascii="宋体" w:hAnsi="宋体"/>
          <w:sz w:val="24"/>
        </w:rPr>
      </w:pPr>
      <w:r>
        <w:rPr>
          <w:rFonts w:hint="eastAsia" w:ascii="宋体" w:hAnsi="宋体"/>
          <w:sz w:val="24"/>
        </w:rPr>
        <w:t>(4)当投标文件中填报的工程量清单报价书中的分项、分部工程项目名称、内容或计量单位及工程量与招标人提供的工程量清单中的分项、分部工程项目名称、内容或计量单位不一致，以致影响评标结果的。</w:t>
      </w:r>
    </w:p>
    <w:p>
      <w:pPr>
        <w:ind w:firstLine="470" w:firstLineChars="196"/>
        <w:rPr>
          <w:rFonts w:ascii="宋体" w:hAnsi="宋体"/>
          <w:sz w:val="24"/>
        </w:rPr>
      </w:pPr>
      <w:r>
        <w:rPr>
          <w:rFonts w:hint="eastAsia" w:ascii="宋体" w:hAnsi="宋体"/>
          <w:sz w:val="24"/>
        </w:rPr>
        <w:t>(5)环境保护、文明施工、安全施工、临时设施费清单报价低于有关文件规定的。</w:t>
      </w:r>
    </w:p>
    <w:p>
      <w:pPr>
        <w:ind w:firstLine="470" w:firstLineChars="196"/>
        <w:rPr>
          <w:rFonts w:ascii="宋体" w:hAnsi="宋体"/>
          <w:sz w:val="24"/>
        </w:rPr>
      </w:pPr>
      <w:r>
        <w:rPr>
          <w:rFonts w:hint="eastAsia" w:ascii="宋体" w:hAnsi="宋体"/>
          <w:sz w:val="24"/>
        </w:rPr>
        <w:t>(6)不可竞争费用中有其中一项降低计费标准、基数或擅自减少不可竞争费用项目进行竞标的；</w:t>
      </w:r>
    </w:p>
    <w:p>
      <w:pPr>
        <w:ind w:firstLine="470" w:firstLineChars="196"/>
        <w:rPr>
          <w:rFonts w:ascii="宋体" w:hAnsi="宋体"/>
          <w:sz w:val="24"/>
        </w:rPr>
      </w:pPr>
      <w:r>
        <w:rPr>
          <w:rFonts w:hint="eastAsia" w:ascii="宋体" w:hAnsi="宋体"/>
          <w:sz w:val="24"/>
        </w:rPr>
        <w:t>(7)投标人工费工日单价低于</w:t>
      </w:r>
      <w:permStart w:id="86" w:edGrp="everyone"/>
      <w:r>
        <w:rPr>
          <w:rFonts w:hint="eastAsia" w:ascii="宋体" w:hAnsi="宋体"/>
          <w:sz w:val="24"/>
        </w:rPr>
        <w:t>105.56</w:t>
      </w:r>
      <w:permEnd w:id="86"/>
      <w:r>
        <w:rPr>
          <w:rFonts w:hint="eastAsia" w:ascii="宋体" w:hAnsi="宋体"/>
          <w:sz w:val="24"/>
        </w:rPr>
        <w:t>元/工日的;</w:t>
      </w:r>
    </w:p>
    <w:p>
      <w:pPr>
        <w:ind w:firstLine="470" w:firstLineChars="196"/>
        <w:rPr>
          <w:rFonts w:ascii="宋体" w:hAnsi="宋体"/>
          <w:sz w:val="24"/>
        </w:rPr>
      </w:pPr>
      <w:r>
        <w:rPr>
          <w:rFonts w:hint="eastAsia" w:ascii="宋体" w:hAnsi="宋体"/>
          <w:sz w:val="24"/>
        </w:rPr>
        <w:t>(8)因投标人原因造成投标报价及其综合单价遗漏的工程项目、工程内容、工程数量、费用或计算错误等绝对值累计总额（高估冒算、多报费用不得抵消缺漏费用）占投标报价3%（含）以上者。凡招标文件要求或者工程造价组成应计算的费用而投标人未报，且投标文件未阐明充分理由，并不能提供足够证据者，均视为缺漏项目或费用。</w:t>
      </w:r>
    </w:p>
    <w:p>
      <w:pPr>
        <w:ind w:firstLine="470" w:firstLineChars="196"/>
        <w:rPr>
          <w:rFonts w:ascii="宋体" w:hAnsi="宋体"/>
          <w:sz w:val="24"/>
        </w:rPr>
      </w:pPr>
      <w:r>
        <w:rPr>
          <w:rFonts w:hint="eastAsia" w:ascii="宋体" w:hAnsi="宋体"/>
          <w:sz w:val="24"/>
        </w:rPr>
        <w:t>(9)投标报价中变更预留金或材料暂估单价或专业工程暂估价等预算价公布的招标人提供的相应金额的</w:t>
      </w:r>
    </w:p>
    <w:p>
      <w:pPr>
        <w:ind w:firstLine="470" w:firstLineChars="196"/>
        <w:rPr>
          <w:rFonts w:ascii="宋体" w:hAnsi="宋体"/>
          <w:sz w:val="24"/>
        </w:rPr>
      </w:pPr>
      <w:r>
        <w:rPr>
          <w:rFonts w:hint="eastAsia" w:ascii="宋体" w:hAnsi="宋体"/>
          <w:sz w:val="24"/>
        </w:rPr>
        <w:t>(10)投标报价中的投标总价或各个单项工程总价通过乘以系数或直接增减金额来调整价格的</w:t>
      </w:r>
    </w:p>
    <w:p>
      <w:pPr>
        <w:ind w:firstLine="470" w:firstLineChars="196"/>
        <w:rPr>
          <w:rFonts w:ascii="宋体" w:hAnsi="宋体"/>
          <w:sz w:val="24"/>
        </w:rPr>
      </w:pPr>
      <w:r>
        <w:rPr>
          <w:rFonts w:hint="eastAsia" w:ascii="宋体" w:hAnsi="宋体"/>
          <w:sz w:val="24"/>
        </w:rPr>
        <w:t>(11)投标报价中没有综合单价分析表的。</w:t>
      </w:r>
    </w:p>
    <w:p>
      <w:pPr>
        <w:ind w:firstLine="470" w:firstLineChars="196"/>
        <w:rPr>
          <w:rFonts w:ascii="宋体" w:hAnsi="宋体"/>
          <w:sz w:val="24"/>
        </w:rPr>
      </w:pPr>
      <w:r>
        <w:rPr>
          <w:rFonts w:hint="eastAsia" w:ascii="宋体" w:hAnsi="宋体"/>
          <w:sz w:val="24"/>
        </w:rPr>
        <w:t>(12)投标报价中没有人材机汇总表的。</w:t>
      </w:r>
    </w:p>
    <w:p>
      <w:pPr>
        <w:ind w:firstLine="470" w:firstLineChars="196"/>
        <w:rPr>
          <w:rFonts w:ascii="宋体" w:hAnsi="宋体"/>
          <w:sz w:val="24"/>
        </w:rPr>
      </w:pPr>
      <w:r>
        <w:rPr>
          <w:rFonts w:hint="eastAsia" w:ascii="宋体" w:hAnsi="宋体"/>
          <w:sz w:val="24"/>
        </w:rPr>
        <w:t>(13)工程量综合单价分析表的综合单价乘以系数来调整价格的。</w:t>
      </w:r>
    </w:p>
    <w:p>
      <w:pPr>
        <w:ind w:firstLine="470" w:firstLineChars="196"/>
        <w:rPr>
          <w:rFonts w:ascii="宋体" w:hAnsi="宋体"/>
          <w:sz w:val="24"/>
        </w:rPr>
      </w:pPr>
      <w:r>
        <w:rPr>
          <w:rFonts w:hint="eastAsia" w:ascii="宋体" w:hAnsi="宋体"/>
          <w:sz w:val="24"/>
        </w:rPr>
        <w:t>(14)工程量综合单价分析表的人工费或材料费或机械费乘以系数调整价格的。</w:t>
      </w:r>
    </w:p>
    <w:p>
      <w:pPr>
        <w:ind w:firstLine="470" w:firstLineChars="196"/>
        <w:rPr>
          <w:rFonts w:ascii="宋体" w:hAnsi="宋体"/>
          <w:sz w:val="24"/>
        </w:rPr>
      </w:pPr>
      <w:r>
        <w:rPr>
          <w:rFonts w:hint="eastAsia" w:ascii="宋体" w:hAnsi="宋体"/>
          <w:sz w:val="24"/>
        </w:rPr>
        <w:t>(15)工程量综合单价分析表的总价与人工费、材料费、机械费、管理费、利润之和相差较大的。（因计算过程由于小数位四舍五入导致的误差除外）。</w:t>
      </w:r>
    </w:p>
    <w:p>
      <w:pPr>
        <w:ind w:firstLine="470" w:firstLineChars="196"/>
        <w:rPr>
          <w:rFonts w:ascii="宋体" w:hAnsi="宋体"/>
          <w:sz w:val="24"/>
        </w:rPr>
      </w:pPr>
      <w:r>
        <w:rPr>
          <w:rFonts w:hint="eastAsia" w:ascii="宋体" w:hAnsi="宋体"/>
          <w:sz w:val="24"/>
        </w:rPr>
        <w:t>(16)任何报价出现负数的。</w:t>
      </w:r>
    </w:p>
    <w:p>
      <w:pPr>
        <w:ind w:firstLine="480" w:firstLineChars="200"/>
        <w:rPr>
          <w:rFonts w:ascii="宋体" w:hAnsi="宋体"/>
          <w:sz w:val="24"/>
        </w:rPr>
      </w:pPr>
      <w:r>
        <w:rPr>
          <w:rFonts w:hint="eastAsia" w:ascii="宋体" w:hAnsi="宋体"/>
          <w:sz w:val="24"/>
        </w:rPr>
        <w:t>(17)总包服务费未按照招标文件规定费率计取的。</w:t>
      </w:r>
    </w:p>
    <w:p>
      <w:pPr>
        <w:ind w:firstLine="480" w:firstLineChars="200"/>
        <w:rPr>
          <w:rFonts w:ascii="宋体" w:hAnsi="宋体"/>
          <w:sz w:val="24"/>
        </w:rPr>
      </w:pPr>
      <w:r>
        <w:rPr>
          <w:rFonts w:hint="eastAsia" w:ascii="宋体" w:hAnsi="宋体"/>
          <w:sz w:val="24"/>
        </w:rPr>
        <w:t xml:space="preserve">(18)法律、法规规定的其它情形； </w:t>
      </w:r>
    </w:p>
    <w:p>
      <w:pPr>
        <w:ind w:firstLine="480" w:firstLineChars="200"/>
        <w:rPr>
          <w:rFonts w:ascii="宋体" w:hAnsi="宋体"/>
          <w:sz w:val="24"/>
        </w:rPr>
      </w:pPr>
      <w:r>
        <w:rPr>
          <w:rFonts w:hint="eastAsia" w:ascii="宋体" w:hAnsi="宋体"/>
          <w:sz w:val="24"/>
        </w:rPr>
        <w:t>30.2.13投标文件使用活页夹装订的；</w:t>
      </w:r>
    </w:p>
    <w:p>
      <w:pPr>
        <w:ind w:firstLine="480" w:firstLineChars="200"/>
        <w:rPr>
          <w:rFonts w:ascii="宋体" w:hAnsi="宋体"/>
          <w:sz w:val="24"/>
        </w:rPr>
      </w:pPr>
      <w:r>
        <w:rPr>
          <w:rFonts w:hint="eastAsia" w:ascii="宋体" w:hAnsi="宋体"/>
          <w:sz w:val="24"/>
        </w:rPr>
        <w:t>30.2.14组成联合体投标的投标人未附《联合体各方共同投标协议书》（资格审查时已经提交的除外）；</w:t>
      </w:r>
    </w:p>
    <w:p>
      <w:pPr>
        <w:ind w:firstLine="480" w:firstLineChars="200"/>
        <w:rPr>
          <w:rFonts w:ascii="宋体" w:hAnsi="宋体"/>
          <w:sz w:val="24"/>
        </w:rPr>
      </w:pPr>
      <w:r>
        <w:rPr>
          <w:rFonts w:hint="eastAsia" w:ascii="宋体" w:hAnsi="宋体"/>
          <w:sz w:val="24"/>
        </w:rPr>
        <w:t>30.2.15投标人拒绝对细微偏差作出补正；</w:t>
      </w:r>
    </w:p>
    <w:p>
      <w:pPr>
        <w:ind w:firstLine="480" w:firstLineChars="200"/>
        <w:rPr>
          <w:rFonts w:ascii="宋体" w:hAnsi="宋体"/>
          <w:sz w:val="24"/>
        </w:rPr>
      </w:pPr>
      <w:r>
        <w:rPr>
          <w:rFonts w:hint="eastAsia" w:ascii="宋体" w:hAnsi="宋体"/>
          <w:sz w:val="24"/>
        </w:rPr>
        <w:t>30.2.16不同投标人委托在同一单位缴纳社会保险的人员编制投标文件、办理投标事宜的。</w:t>
      </w:r>
    </w:p>
    <w:p>
      <w:pPr>
        <w:ind w:firstLine="480" w:firstLineChars="200"/>
        <w:rPr>
          <w:rFonts w:ascii="宋体" w:hAnsi="宋体"/>
          <w:sz w:val="24"/>
        </w:rPr>
      </w:pPr>
      <w:r>
        <w:rPr>
          <w:rFonts w:hint="eastAsia" w:ascii="宋体" w:hAnsi="宋体"/>
          <w:sz w:val="24"/>
        </w:rPr>
        <w:t>30.2.17不同投标人的投标文件中（投标人针对投标项目特点自行编制部分）出现整章节、整段落或错误异常一致的。</w:t>
      </w:r>
    </w:p>
    <w:p>
      <w:pPr>
        <w:ind w:firstLine="480" w:firstLineChars="200"/>
        <w:rPr>
          <w:rFonts w:ascii="宋体" w:hAnsi="宋体"/>
          <w:sz w:val="24"/>
        </w:rPr>
      </w:pPr>
      <w:r>
        <w:rPr>
          <w:rFonts w:hint="eastAsia" w:ascii="宋体" w:hAnsi="宋体"/>
          <w:sz w:val="24"/>
        </w:rPr>
        <w:t>30.2.18不同投标人的投标报价异常一致的（精确到人民币“元”）。</w:t>
      </w:r>
    </w:p>
    <w:p>
      <w:pPr>
        <w:pStyle w:val="26"/>
        <w:spacing w:line="360" w:lineRule="exact"/>
        <w:rPr>
          <w:rFonts w:ascii="黑体" w:hAnsi="宋体" w:eastAsia="黑体"/>
          <w:sz w:val="24"/>
          <w:szCs w:val="24"/>
        </w:rPr>
      </w:pPr>
      <w:r>
        <w:rPr>
          <w:rFonts w:hint="eastAsia" w:hAnsi="宋体"/>
          <w:sz w:val="24"/>
        </w:rPr>
        <w:t>30.2.19法律、法规规定的其它情形。</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30.3细微偏差的认定：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w:t>
      </w:r>
    </w:p>
    <w:p>
      <w:pPr>
        <w:pStyle w:val="26"/>
        <w:spacing w:line="360" w:lineRule="exact"/>
        <w:rPr>
          <w:rFonts w:ascii="仿宋_GB2312" w:hAnsi="宋体" w:eastAsia="仿宋_GB2312"/>
          <w:color w:val="FF0000"/>
          <w:sz w:val="24"/>
          <w:szCs w:val="24"/>
        </w:rPr>
      </w:pPr>
      <w:r>
        <w:rPr>
          <w:rFonts w:hint="eastAsia" w:ascii="仿宋_GB2312" w:hAnsi="宋体" w:eastAsia="仿宋_GB2312"/>
          <w:sz w:val="24"/>
          <w:szCs w:val="24"/>
        </w:rPr>
        <w:t>30.4 投标文件的澄清：投标文件需澄清、说明或者补正的(包括补正投标报价)以及投标文件存在细微偏差需要补正的，评标委员会应当要求投标人进行澄清、说明、补正或确认，细微偏差的修正将由评委进行评审、解释。</w:t>
      </w:r>
      <w:r>
        <w:rPr>
          <w:rFonts w:hint="eastAsia" w:ascii="仿宋_GB2312" w:hAnsi="宋体" w:eastAsia="仿宋_GB2312"/>
          <w:color w:val="FF0000"/>
          <w:sz w:val="24"/>
          <w:szCs w:val="24"/>
        </w:rPr>
        <w:t xml:space="preserve"> </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30.5如果投标文件实质上不响应招标文件的各项要求，评标委员会将予以拒绝，并且不允许投标人通过修改或撤销其不符合要求的差异或保留，使之成为具有响应性的投标。</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30.6经审查符合招标文件要求的有效投标文件，由评标委员会进行详细评审、比较。</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31、投标文件计算错误的修正</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31.1评标委员会将对确定为实质上响应招标文件要求的投标文件进行校核，看其是否有计算或表达上的细微偏差，细微偏差的修正原则如下：</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31.1.1当投标文件中填报的工程量清单报价书中的分部分项工程量清单项目名称、计量单位及工程量与招标人或招标代理机构提供的工程量清单中的分部分项工程项目名称、计量单位及工程量不一致时，以招标人或招标代理机构提供的内容为准。</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 xml:space="preserve">31.1.2工程量清单报价表中，出现综合单价金额和工程量的乘积与合价金额不一致的，由评委会评审后按不利于投标人的原则进行修正。 </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31.1.3各项报价书中，细目价格、费用(合价或合计)金额累计不等于总价(合计或总计)金额时，由评委会评审后按不利于投标人的原则进行修正。</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31.1.4工程量清单报价表中综合单价与工程量清单项目综合单价分析表相对应综合单价不一致时，由评委会评审后按不利于投标人的原则进行修正。</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31.1.5投标人填报的材料、设备的品牌、数量、单位、规格型号、产地、技术参数(标准)等与招标文件要求不一致的，以招标文件要求为准进行澄清修正，但所报的单价不变。</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31.1.6投标文件中填报的投标报价、投标工期、工程质量标准前后不一致时，以投标函填报的为准，投标函投标报价大小写不一致的，以大写为准</w:t>
      </w:r>
      <w:r>
        <w:rPr>
          <w:rFonts w:hint="eastAsia" w:ascii="仿宋_GB2312" w:hAnsi="宋体" w:eastAsia="仿宋_GB2312"/>
          <w:b/>
          <w:sz w:val="24"/>
          <w:szCs w:val="24"/>
        </w:rPr>
        <w:t>。但明显采用恶意报价方式影响平均值的除外。</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31.1.7投标文件中填写的工程名称、工程结构、建筑面积、层数有误时，以招标工程的实际内容为准。</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31.1.8评标委员会根据招标文件的规定对投标文件的计算错误进行修正后，因错误偏差绝对值累计在投标报价 3％（含 3％）以内且未影响投标人排序的，按不影响平均值并以对该投标人不利的原则进行修正。</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31.2 按上述修正错误的原则及方法调整或修正投标文件的投标报价，投标人同意后，调整后的投标报价对投标人起约束作用。如果投标人不接受修正后的报价，则其投标将被拒绝，并不影响评标工作。</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32、按照第30.4条款、第31条款规定进行澄清、补正后的投标报价经投标人的法定代表人或其委托代理人确认后即为该投标人的最终投标报价。修正报价的投标人一旦中标，中标价就低不就高。</w:t>
      </w:r>
    </w:p>
    <w:p>
      <w:pPr>
        <w:pStyle w:val="26"/>
        <w:spacing w:line="360" w:lineRule="exact"/>
        <w:rPr>
          <w:rFonts w:ascii="仿宋_GB2312" w:hAnsi="宋体" w:eastAsia="仿宋_GB2312"/>
          <w:b/>
          <w:sz w:val="24"/>
          <w:szCs w:val="24"/>
        </w:rPr>
      </w:pPr>
      <w:r>
        <w:rPr>
          <w:rFonts w:hint="eastAsia" w:ascii="仿宋_GB2312" w:hAnsi="宋体" w:eastAsia="仿宋_GB2312"/>
          <w:b/>
          <w:sz w:val="24"/>
          <w:szCs w:val="24"/>
        </w:rPr>
        <w:t>33、投标文件的评审、比较和否决</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33.1评标委员会将按照本须知第30条规定，仅对在实质上响应招标文件要求的投标文件进行评估和比较。</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33.2 在评审过程中,评标委员会可以要求投标人就投标文件中含义不明确的内容按招标文件规定的形式进行说明并提供相关材料。</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33.3评标委员会依据招标文件规定的评标标准和方法，对合格投标文件分别进行评审和比较，并推荐1至3名中标候选人。如出现两家或两家以上投标单位投标报价相同最低且有效，则采用摇号的方式确定第一中标候选人。</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33.4招标人根据评标委员会提出的书面评标报告和推荐的中标候选人，依据国家和地方现行法规确定中标人。</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33.5评标委员会经评审，认为所有投标都不符合招标文件要求的，可以否决所有投标。所有投标被否决后，招标人应当依法重新招标。</w:t>
      </w:r>
    </w:p>
    <w:p>
      <w:pPr>
        <w:pStyle w:val="26"/>
        <w:spacing w:line="360" w:lineRule="exact"/>
        <w:rPr>
          <w:rFonts w:ascii="仿宋_GB2312" w:hAnsi="宋体" w:eastAsia="仿宋_GB2312"/>
          <w:sz w:val="24"/>
          <w:szCs w:val="24"/>
        </w:rPr>
      </w:pPr>
      <w:r>
        <w:rPr>
          <w:rFonts w:hint="eastAsia" w:ascii="仿宋_GB2312" w:hAnsi="宋体" w:eastAsia="仿宋_GB2312"/>
          <w:sz w:val="24"/>
          <w:szCs w:val="24"/>
        </w:rPr>
        <w:t>34、评标办法和程序</w:t>
      </w:r>
    </w:p>
    <w:p>
      <w:pPr>
        <w:pStyle w:val="26"/>
        <w:spacing w:line="360" w:lineRule="exact"/>
        <w:rPr>
          <w:rFonts w:ascii="仿宋_GB2312" w:hAnsi="宋体" w:eastAsia="仿宋_GB2312"/>
          <w:sz w:val="24"/>
        </w:rPr>
      </w:pPr>
      <w:r>
        <w:rPr>
          <w:rFonts w:hint="eastAsia" w:ascii="仿宋_GB2312" w:hAnsi="宋体" w:eastAsia="仿宋_GB2312"/>
          <w:sz w:val="24"/>
          <w:szCs w:val="24"/>
        </w:rPr>
        <w:t>34.1评标和定标工作不约请投标人参加，投标人对评标工作所提出的问题和意见，</w:t>
      </w:r>
      <w:r>
        <w:rPr>
          <w:rFonts w:hint="eastAsia" w:ascii="仿宋_GB2312" w:hAnsi="宋体" w:eastAsia="仿宋_GB2312"/>
          <w:sz w:val="24"/>
        </w:rPr>
        <w:t>招标代理机构不作答复。</w:t>
      </w:r>
    </w:p>
    <w:p>
      <w:pPr>
        <w:rPr>
          <w:rFonts w:hAnsi="宋体"/>
          <w:sz w:val="24"/>
        </w:rPr>
      </w:pPr>
      <w:permStart w:id="87" w:edGrp="everyone"/>
      <w:r>
        <w:rPr>
          <w:rFonts w:hint="eastAsia" w:hAnsi="宋体"/>
          <w:sz w:val="24"/>
        </w:rPr>
        <w:t>34.2评标程序：</w:t>
      </w:r>
    </w:p>
    <w:p>
      <w:pPr>
        <w:rPr>
          <w:rFonts w:hAnsi="宋体"/>
          <w:sz w:val="24"/>
          <w:u w:val="double"/>
        </w:rPr>
      </w:pPr>
      <w:r>
        <w:rPr>
          <w:rFonts w:hint="eastAsia" w:hAnsi="宋体"/>
          <w:sz w:val="24"/>
          <w:u w:val="double"/>
        </w:rPr>
        <w:t>34.2.1资格评审</w:t>
      </w:r>
    </w:p>
    <w:p>
      <w:pPr>
        <w:pStyle w:val="89"/>
        <w:widowControl w:val="0"/>
        <w:spacing w:before="0" w:beforeAutospacing="0" w:after="0" w:afterAutospacing="0"/>
        <w:jc w:val="center"/>
        <w:rPr>
          <w:rFonts w:ascii="仿宋_GB2312" w:eastAsia="仿宋_GB2312"/>
          <w:b/>
          <w:sz w:val="36"/>
        </w:rPr>
      </w:pPr>
      <w:r>
        <w:rPr>
          <w:rFonts w:hint="eastAsia" w:ascii="仿宋_GB2312" w:eastAsia="仿宋_GB2312"/>
          <w:b/>
          <w:sz w:val="36"/>
        </w:rPr>
        <w:t>资格评审标准</w:t>
      </w:r>
    </w:p>
    <w:tbl>
      <w:tblPr>
        <w:tblStyle w:val="49"/>
        <w:tblpPr w:leftFromText="180" w:rightFromText="180" w:vertAnchor="text" w:horzAnchor="margin" w:tblpXSpec="center" w:tblpY="314"/>
        <w:tblW w:w="9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
        <w:gridCol w:w="419"/>
        <w:gridCol w:w="7"/>
        <w:gridCol w:w="2929"/>
        <w:gridCol w:w="4028"/>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81" w:type="dxa"/>
            <w:shd w:val="clear" w:color="auto" w:fill="auto"/>
            <w:vAlign w:val="center"/>
          </w:tcPr>
          <w:p>
            <w:pPr>
              <w:jc w:val="center"/>
              <w:rPr>
                <w:rFonts w:ascii="仿宋_GB2312" w:eastAsia="仿宋_GB2312"/>
                <w:b/>
                <w:szCs w:val="21"/>
              </w:rPr>
            </w:pPr>
            <w:r>
              <w:rPr>
                <w:rFonts w:hint="eastAsia" w:ascii="仿宋_GB2312" w:eastAsia="仿宋_GB2312"/>
                <w:b/>
                <w:szCs w:val="21"/>
              </w:rPr>
              <w:t>评审名称</w:t>
            </w:r>
          </w:p>
        </w:tc>
        <w:tc>
          <w:tcPr>
            <w:tcW w:w="3355" w:type="dxa"/>
            <w:gridSpan w:val="3"/>
            <w:shd w:val="clear" w:color="auto" w:fill="auto"/>
            <w:vAlign w:val="center"/>
          </w:tcPr>
          <w:p>
            <w:pPr>
              <w:jc w:val="center"/>
              <w:rPr>
                <w:rFonts w:ascii="仿宋_GB2312" w:eastAsia="仿宋_GB2312"/>
                <w:b/>
                <w:szCs w:val="21"/>
              </w:rPr>
            </w:pPr>
            <w:r>
              <w:rPr>
                <w:rFonts w:hint="eastAsia" w:ascii="仿宋_GB2312" w:eastAsia="仿宋_GB2312"/>
                <w:b/>
                <w:szCs w:val="21"/>
              </w:rPr>
              <w:t>评审因素</w:t>
            </w:r>
          </w:p>
        </w:tc>
        <w:tc>
          <w:tcPr>
            <w:tcW w:w="4028" w:type="dxa"/>
            <w:shd w:val="clear" w:color="auto" w:fill="auto"/>
            <w:vAlign w:val="center"/>
          </w:tcPr>
          <w:p>
            <w:pPr>
              <w:jc w:val="center"/>
              <w:rPr>
                <w:rFonts w:ascii="仿宋_GB2312" w:eastAsia="仿宋_GB2312"/>
                <w:szCs w:val="21"/>
              </w:rPr>
            </w:pPr>
            <w:r>
              <w:rPr>
                <w:rFonts w:hint="eastAsia" w:ascii="仿宋_GB2312" w:eastAsia="仿宋_GB2312"/>
                <w:b/>
                <w:szCs w:val="21"/>
              </w:rPr>
              <w:t>评审标准</w:t>
            </w:r>
          </w:p>
        </w:tc>
        <w:tc>
          <w:tcPr>
            <w:tcW w:w="988" w:type="dxa"/>
            <w:shd w:val="clear" w:color="auto" w:fill="auto"/>
            <w:vAlign w:val="center"/>
          </w:tcPr>
          <w:p>
            <w:pPr>
              <w:jc w:val="center"/>
              <w:rPr>
                <w:rFonts w:ascii="仿宋_GB2312" w:eastAsia="仿宋_GB2312"/>
                <w:szCs w:val="21"/>
              </w:rPr>
            </w:pPr>
            <w:r>
              <w:rPr>
                <w:rFonts w:hint="eastAsia" w:ascii="仿宋_GB2312" w:eastAsia="仿宋_GB2312"/>
                <w:b/>
                <w:szCs w:val="21"/>
              </w:rPr>
              <w:t>是否通过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81"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资格评</w:t>
            </w:r>
          </w:p>
          <w:p>
            <w:pPr>
              <w:jc w:val="center"/>
              <w:rPr>
                <w:rFonts w:ascii="仿宋_GB2312" w:eastAsia="仿宋_GB2312"/>
                <w:b/>
                <w:szCs w:val="21"/>
              </w:rPr>
            </w:pPr>
            <w:r>
              <w:rPr>
                <w:rFonts w:hint="eastAsia" w:ascii="仿宋_GB2312" w:eastAsia="仿宋_GB2312"/>
                <w:szCs w:val="21"/>
              </w:rPr>
              <w:t>审标准</w:t>
            </w:r>
          </w:p>
        </w:tc>
        <w:tc>
          <w:tcPr>
            <w:tcW w:w="419" w:type="dxa"/>
            <w:shd w:val="clear" w:color="auto" w:fill="auto"/>
            <w:vAlign w:val="center"/>
          </w:tcPr>
          <w:p>
            <w:pPr>
              <w:rPr>
                <w:rFonts w:ascii="仿宋_GB2312" w:eastAsia="仿宋_GB2312"/>
                <w:szCs w:val="21"/>
              </w:rPr>
            </w:pPr>
            <w:r>
              <w:rPr>
                <w:rFonts w:hint="eastAsia" w:ascii="仿宋_GB2312" w:eastAsia="仿宋_GB2312"/>
                <w:szCs w:val="21"/>
              </w:rPr>
              <w:t>1</w:t>
            </w:r>
          </w:p>
        </w:tc>
        <w:tc>
          <w:tcPr>
            <w:tcW w:w="2936" w:type="dxa"/>
            <w:gridSpan w:val="2"/>
            <w:shd w:val="clear" w:color="auto" w:fill="auto"/>
            <w:vAlign w:val="center"/>
          </w:tcPr>
          <w:p>
            <w:pPr>
              <w:adjustRightInd w:val="0"/>
              <w:snapToGrid w:val="0"/>
              <w:spacing w:line="300" w:lineRule="exact"/>
              <w:jc w:val="left"/>
              <w:rPr>
                <w:rFonts w:ascii="仿宋_GB2312" w:eastAsia="仿宋_GB2312"/>
                <w:szCs w:val="21"/>
              </w:rPr>
            </w:pPr>
            <w:r>
              <w:rPr>
                <w:rFonts w:hint="eastAsia" w:ascii="仿宋_GB2312" w:eastAsia="仿宋_GB2312"/>
                <w:szCs w:val="21"/>
              </w:rPr>
              <w:t>投标保证金、招标文件费用费用</w:t>
            </w:r>
            <w:r>
              <w:rPr>
                <w:rFonts w:hint="eastAsia" w:ascii="仿宋_GB2312" w:eastAsia="仿宋_GB2312"/>
                <w:szCs w:val="21"/>
                <w:lang w:eastAsia="zh-CN"/>
              </w:rPr>
              <w:t>缴纳</w:t>
            </w:r>
            <w:r>
              <w:rPr>
                <w:rFonts w:hint="eastAsia" w:ascii="仿宋_GB2312" w:eastAsia="仿宋_GB2312"/>
                <w:szCs w:val="21"/>
              </w:rPr>
              <w:t>情况</w:t>
            </w:r>
          </w:p>
        </w:tc>
        <w:tc>
          <w:tcPr>
            <w:tcW w:w="4028" w:type="dxa"/>
            <w:shd w:val="clear" w:color="auto" w:fill="auto"/>
            <w:vAlign w:val="center"/>
          </w:tcPr>
          <w:p>
            <w:pPr>
              <w:adjustRightInd w:val="0"/>
              <w:snapToGrid w:val="0"/>
              <w:spacing w:line="300" w:lineRule="exact"/>
              <w:jc w:val="left"/>
              <w:rPr>
                <w:rFonts w:ascii="仿宋_GB2312" w:eastAsia="仿宋_GB2312"/>
                <w:szCs w:val="21"/>
              </w:rPr>
            </w:pPr>
            <w:r>
              <w:rPr>
                <w:rFonts w:hint="eastAsia" w:ascii="仿宋_GB2312" w:eastAsia="仿宋_GB2312"/>
                <w:szCs w:val="21"/>
              </w:rPr>
              <w:t>符合招标文件要求</w:t>
            </w:r>
          </w:p>
        </w:tc>
        <w:tc>
          <w:tcPr>
            <w:tcW w:w="988" w:type="dxa"/>
            <w:shd w:val="clear" w:color="auto" w:fill="auto"/>
            <w:vAlign w:val="center"/>
          </w:tcPr>
          <w:p>
            <w:pPr>
              <w:jc w:val="center"/>
              <w:rPr>
                <w:rFonts w:ascii="仿宋_GB2312" w:eastAsia="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81" w:type="dxa"/>
            <w:vMerge w:val="continue"/>
            <w:shd w:val="clear" w:color="auto" w:fill="auto"/>
            <w:vAlign w:val="center"/>
          </w:tcPr>
          <w:p>
            <w:pPr>
              <w:jc w:val="cente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2</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资质等级</w:t>
            </w:r>
          </w:p>
        </w:tc>
        <w:tc>
          <w:tcPr>
            <w:tcW w:w="4028" w:type="dxa"/>
            <w:shd w:val="clear" w:color="auto" w:fill="auto"/>
            <w:vAlign w:val="center"/>
          </w:tcPr>
          <w:p>
            <w:pPr>
              <w:rPr>
                <w:rFonts w:ascii="仿宋_GB2312" w:eastAsia="仿宋_GB2312"/>
                <w:szCs w:val="21"/>
              </w:rPr>
            </w:pPr>
            <w:r>
              <w:rPr>
                <w:rFonts w:hint="eastAsia" w:ascii="仿宋_GB2312" w:eastAsia="仿宋_GB2312"/>
                <w:szCs w:val="21"/>
              </w:rPr>
              <w:t>具备有效的资质证书并符合招标文件要求</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81" w:type="dxa"/>
            <w:vMerge w:val="continue"/>
            <w:shd w:val="clear" w:color="auto" w:fill="auto"/>
          </w:tcPr>
          <w:p>
            <w:pP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3</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营业执照</w:t>
            </w:r>
          </w:p>
        </w:tc>
        <w:tc>
          <w:tcPr>
            <w:tcW w:w="4028" w:type="dxa"/>
            <w:shd w:val="clear" w:color="auto" w:fill="auto"/>
            <w:vAlign w:val="center"/>
          </w:tcPr>
          <w:p>
            <w:pPr>
              <w:rPr>
                <w:rFonts w:ascii="仿宋_GB2312" w:eastAsia="仿宋_GB2312"/>
                <w:szCs w:val="21"/>
              </w:rPr>
            </w:pPr>
            <w:r>
              <w:rPr>
                <w:rFonts w:hint="eastAsia" w:ascii="仿宋_GB2312" w:eastAsia="仿宋_GB2312"/>
                <w:szCs w:val="21"/>
              </w:rPr>
              <w:t>具备有效的营业执照</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81" w:type="dxa"/>
            <w:vMerge w:val="continue"/>
            <w:shd w:val="clear" w:color="auto" w:fill="auto"/>
          </w:tcPr>
          <w:p>
            <w:pP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4</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安全生产许可证</w:t>
            </w:r>
          </w:p>
        </w:tc>
        <w:tc>
          <w:tcPr>
            <w:tcW w:w="4028" w:type="dxa"/>
            <w:shd w:val="clear" w:color="auto" w:fill="auto"/>
            <w:vAlign w:val="center"/>
          </w:tcPr>
          <w:p>
            <w:pPr>
              <w:rPr>
                <w:rFonts w:ascii="仿宋_GB2312" w:eastAsia="仿宋_GB2312"/>
                <w:szCs w:val="21"/>
              </w:rPr>
            </w:pPr>
            <w:r>
              <w:rPr>
                <w:rFonts w:hint="eastAsia" w:ascii="仿宋_GB2312" w:eastAsia="仿宋_GB2312"/>
                <w:szCs w:val="21"/>
              </w:rPr>
              <w:t>具备有效的安全生产许可证</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81" w:type="dxa"/>
            <w:vMerge w:val="continue"/>
            <w:shd w:val="clear" w:color="auto" w:fill="auto"/>
          </w:tcPr>
          <w:p>
            <w:pP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5</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法人授权委托书、被授权人身份证</w:t>
            </w:r>
          </w:p>
        </w:tc>
        <w:tc>
          <w:tcPr>
            <w:tcW w:w="4028" w:type="dxa"/>
            <w:shd w:val="clear" w:color="auto" w:fill="auto"/>
            <w:vAlign w:val="center"/>
          </w:tcPr>
          <w:p>
            <w:pPr>
              <w:rPr>
                <w:rFonts w:ascii="仿宋_GB2312" w:eastAsia="仿宋_GB2312"/>
                <w:szCs w:val="21"/>
              </w:rPr>
            </w:pPr>
            <w:r>
              <w:rPr>
                <w:rFonts w:hint="eastAsia" w:ascii="仿宋_GB2312" w:eastAsia="仿宋_GB2312"/>
                <w:szCs w:val="21"/>
              </w:rPr>
              <w:t>符合招标文件要求</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981" w:type="dxa"/>
            <w:vMerge w:val="continue"/>
            <w:shd w:val="clear" w:color="auto" w:fill="auto"/>
          </w:tcPr>
          <w:p>
            <w:pP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6</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项目经理资格要求等级及安全生产考核合格证书</w:t>
            </w:r>
          </w:p>
        </w:tc>
        <w:tc>
          <w:tcPr>
            <w:tcW w:w="4028" w:type="dxa"/>
            <w:shd w:val="clear" w:color="auto" w:fill="auto"/>
            <w:vAlign w:val="center"/>
          </w:tcPr>
          <w:p>
            <w:pPr>
              <w:rPr>
                <w:rFonts w:ascii="仿宋_GB2312" w:eastAsia="仿宋_GB2312"/>
                <w:szCs w:val="21"/>
              </w:rPr>
            </w:pPr>
            <w:r>
              <w:rPr>
                <w:rFonts w:hint="eastAsia" w:ascii="仿宋_GB2312" w:eastAsia="仿宋_GB2312"/>
                <w:szCs w:val="21"/>
              </w:rPr>
              <w:t>具备有效的资质证书并符合招标文件要求</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981" w:type="dxa"/>
            <w:vMerge w:val="continue"/>
            <w:shd w:val="clear" w:color="auto" w:fill="auto"/>
          </w:tcPr>
          <w:p>
            <w:pP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7</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项目总工</w:t>
            </w:r>
          </w:p>
        </w:tc>
        <w:tc>
          <w:tcPr>
            <w:tcW w:w="4028" w:type="dxa"/>
            <w:shd w:val="clear" w:color="auto" w:fill="auto"/>
            <w:vAlign w:val="center"/>
          </w:tcPr>
          <w:p>
            <w:pPr>
              <w:rPr>
                <w:rFonts w:ascii="仿宋_GB2312" w:eastAsia="仿宋_GB2312"/>
                <w:szCs w:val="21"/>
              </w:rPr>
            </w:pPr>
            <w:r>
              <w:rPr>
                <w:rFonts w:hint="eastAsia" w:ascii="仿宋_GB2312" w:eastAsia="仿宋_GB2312"/>
                <w:szCs w:val="21"/>
              </w:rPr>
              <w:t>符合招标文件要求</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981" w:type="dxa"/>
            <w:vMerge w:val="continue"/>
            <w:shd w:val="clear" w:color="auto" w:fill="auto"/>
          </w:tcPr>
          <w:p>
            <w:pP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8</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联合体投标人（如有）</w:t>
            </w:r>
          </w:p>
        </w:tc>
        <w:tc>
          <w:tcPr>
            <w:tcW w:w="4028" w:type="dxa"/>
            <w:shd w:val="clear" w:color="auto" w:fill="auto"/>
            <w:vAlign w:val="center"/>
          </w:tcPr>
          <w:p>
            <w:pPr>
              <w:rPr>
                <w:rFonts w:ascii="仿宋_GB2312" w:eastAsia="仿宋_GB2312"/>
                <w:szCs w:val="21"/>
              </w:rPr>
            </w:pPr>
            <w:r>
              <w:rPr>
                <w:rFonts w:hint="eastAsia" w:ascii="仿宋_GB2312" w:eastAsia="仿宋_GB2312"/>
                <w:szCs w:val="21"/>
              </w:rPr>
              <w:t>符合招标文件要求</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81" w:type="dxa"/>
            <w:vMerge w:val="continue"/>
            <w:shd w:val="clear" w:color="auto" w:fill="auto"/>
          </w:tcPr>
          <w:p>
            <w:pP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9</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拟任项目经理类似项目业绩</w:t>
            </w:r>
          </w:p>
        </w:tc>
        <w:tc>
          <w:tcPr>
            <w:tcW w:w="4028" w:type="dxa"/>
            <w:shd w:val="clear" w:color="auto" w:fill="auto"/>
            <w:vAlign w:val="center"/>
          </w:tcPr>
          <w:p>
            <w:pPr>
              <w:rPr>
                <w:rFonts w:ascii="仿宋_GB2312" w:eastAsia="仿宋_GB2312"/>
                <w:szCs w:val="21"/>
              </w:rPr>
            </w:pPr>
            <w:r>
              <w:rPr>
                <w:rFonts w:hint="eastAsia" w:ascii="仿宋_GB2312" w:eastAsia="仿宋_GB2312"/>
                <w:szCs w:val="21"/>
              </w:rPr>
              <w:t>符合招标文件要求</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81" w:type="dxa"/>
            <w:vMerge w:val="continue"/>
            <w:shd w:val="clear" w:color="auto" w:fill="auto"/>
          </w:tcPr>
          <w:p>
            <w:pP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1</w:t>
            </w:r>
            <w:r>
              <w:rPr>
                <w:rFonts w:ascii="仿宋_GB2312" w:eastAsia="仿宋_GB2312"/>
                <w:szCs w:val="21"/>
              </w:rPr>
              <w:t>0</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单位类似项目业绩</w:t>
            </w:r>
          </w:p>
        </w:tc>
        <w:tc>
          <w:tcPr>
            <w:tcW w:w="4028" w:type="dxa"/>
            <w:shd w:val="clear" w:color="auto" w:fill="auto"/>
            <w:vAlign w:val="center"/>
          </w:tcPr>
          <w:p>
            <w:pPr>
              <w:rPr>
                <w:rFonts w:ascii="仿宋_GB2312" w:eastAsia="仿宋_GB2312"/>
                <w:szCs w:val="21"/>
              </w:rPr>
            </w:pPr>
            <w:r>
              <w:rPr>
                <w:rFonts w:hint="eastAsia" w:ascii="仿宋_GB2312" w:eastAsia="仿宋_GB2312"/>
                <w:szCs w:val="21"/>
              </w:rPr>
              <w:t>符合招标文件要求</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81" w:type="dxa"/>
            <w:vMerge w:val="continue"/>
            <w:shd w:val="clear" w:color="auto" w:fill="auto"/>
          </w:tcPr>
          <w:p>
            <w:pP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1</w:t>
            </w:r>
            <w:r>
              <w:rPr>
                <w:rFonts w:ascii="仿宋_GB2312" w:eastAsia="仿宋_GB2312"/>
                <w:szCs w:val="21"/>
              </w:rPr>
              <w:t>1</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信誉（如有）</w:t>
            </w:r>
          </w:p>
        </w:tc>
        <w:tc>
          <w:tcPr>
            <w:tcW w:w="4028" w:type="dxa"/>
            <w:shd w:val="clear" w:color="auto" w:fill="auto"/>
            <w:vAlign w:val="center"/>
          </w:tcPr>
          <w:p>
            <w:pPr>
              <w:rPr>
                <w:rFonts w:ascii="仿宋_GB2312" w:eastAsia="仿宋_GB2312"/>
                <w:szCs w:val="21"/>
              </w:rPr>
            </w:pPr>
            <w:r>
              <w:rPr>
                <w:rFonts w:hint="eastAsia" w:ascii="仿宋_GB2312" w:eastAsia="仿宋_GB2312"/>
                <w:szCs w:val="21"/>
              </w:rPr>
              <w:t>符合招标文件要求</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81" w:type="dxa"/>
            <w:vMerge w:val="continue"/>
            <w:shd w:val="clear" w:color="auto" w:fill="auto"/>
          </w:tcPr>
          <w:p>
            <w:pP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1</w:t>
            </w:r>
            <w:r>
              <w:rPr>
                <w:rFonts w:ascii="仿宋_GB2312" w:eastAsia="仿宋_GB2312"/>
                <w:szCs w:val="21"/>
              </w:rPr>
              <w:t>2</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投标人无不良信用记录承诺</w:t>
            </w:r>
          </w:p>
        </w:tc>
        <w:tc>
          <w:tcPr>
            <w:tcW w:w="4028" w:type="dxa"/>
            <w:shd w:val="clear" w:color="auto" w:fill="auto"/>
            <w:vAlign w:val="center"/>
          </w:tcPr>
          <w:p>
            <w:pPr>
              <w:rPr>
                <w:rFonts w:ascii="仿宋_GB2312" w:eastAsia="仿宋_GB2312"/>
                <w:b/>
                <w:color w:val="FF0000"/>
                <w:szCs w:val="21"/>
              </w:rPr>
            </w:pPr>
            <w:r>
              <w:rPr>
                <w:rFonts w:hint="eastAsia" w:ascii="仿宋_GB2312" w:eastAsia="仿宋_GB2312"/>
                <w:b/>
                <w:color w:val="FF0000"/>
                <w:szCs w:val="21"/>
              </w:rPr>
              <w:t>符合招标文件要求，按招标文件的要求及格式提供承诺书。</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81" w:type="dxa"/>
            <w:vMerge w:val="continue"/>
            <w:shd w:val="clear" w:color="auto" w:fill="auto"/>
          </w:tcPr>
          <w:p>
            <w:pP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1</w:t>
            </w:r>
            <w:r>
              <w:rPr>
                <w:rFonts w:ascii="仿宋_GB2312" w:eastAsia="仿宋_GB2312"/>
                <w:szCs w:val="21"/>
              </w:rPr>
              <w:t>3</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投标人不良信用记录查询</w:t>
            </w:r>
          </w:p>
        </w:tc>
        <w:tc>
          <w:tcPr>
            <w:tcW w:w="4028" w:type="dxa"/>
            <w:shd w:val="clear" w:color="auto" w:fill="auto"/>
            <w:vAlign w:val="center"/>
          </w:tcPr>
          <w:p>
            <w:pPr>
              <w:rPr>
                <w:rFonts w:ascii="仿宋_GB2312" w:eastAsia="仿宋_GB2312"/>
                <w:b/>
                <w:color w:val="FF0000"/>
                <w:szCs w:val="21"/>
              </w:rPr>
            </w:pPr>
            <w:r>
              <w:rPr>
                <w:rFonts w:hint="eastAsia" w:ascii="仿宋_GB2312" w:eastAsia="仿宋_GB2312"/>
                <w:color w:val="FF0000"/>
                <w:szCs w:val="21"/>
              </w:rPr>
              <w:t>评委会通过“评标系统”查询投标人其他信用记录（含其他不良行为查询及公共资源局处罚查询），并填表说明。</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981" w:type="dxa"/>
            <w:vMerge w:val="continue"/>
            <w:shd w:val="clear" w:color="auto" w:fill="auto"/>
          </w:tcPr>
          <w:p>
            <w:pP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1</w:t>
            </w:r>
            <w:r>
              <w:rPr>
                <w:rFonts w:ascii="仿宋_GB2312" w:eastAsia="仿宋_GB2312"/>
                <w:szCs w:val="21"/>
              </w:rPr>
              <w:t>4</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投标人非正常投标行为（仅限于本项目历次投标行为）</w:t>
            </w:r>
          </w:p>
        </w:tc>
        <w:tc>
          <w:tcPr>
            <w:tcW w:w="4028" w:type="dxa"/>
            <w:shd w:val="clear" w:color="auto" w:fill="auto"/>
            <w:vAlign w:val="center"/>
          </w:tcPr>
          <w:p>
            <w:pPr>
              <w:rPr>
                <w:rFonts w:ascii="仿宋_GB2312" w:eastAsia="仿宋_GB2312"/>
                <w:b/>
                <w:color w:val="FF0000"/>
                <w:szCs w:val="21"/>
              </w:rPr>
            </w:pPr>
            <w:r>
              <w:rPr>
                <w:rFonts w:hint="eastAsia" w:ascii="仿宋_GB2312" w:eastAsia="仿宋_GB2312"/>
                <w:b/>
                <w:color w:val="FF0000"/>
                <w:szCs w:val="21"/>
              </w:rPr>
              <w:t>符合招标文件要求</w:t>
            </w:r>
          </w:p>
          <w:p>
            <w:pPr>
              <w:rPr>
                <w:rFonts w:ascii="仿宋_GB2312" w:eastAsia="仿宋_GB2312"/>
                <w:b/>
                <w:color w:val="FF0000"/>
                <w:szCs w:val="21"/>
              </w:rPr>
            </w:pPr>
            <w:r>
              <w:rPr>
                <w:rFonts w:hint="eastAsia" w:ascii="仿宋_GB2312" w:eastAsia="仿宋_GB2312"/>
                <w:b/>
                <w:color w:val="FF0000"/>
                <w:szCs w:val="21"/>
              </w:rPr>
              <w:t>评委在“评标系统”中查询非正常投标行为记录</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81" w:type="dxa"/>
            <w:vMerge w:val="continue"/>
            <w:shd w:val="clear" w:color="auto" w:fill="auto"/>
          </w:tcPr>
          <w:p>
            <w:pPr>
              <w:rPr>
                <w:rFonts w:ascii="仿宋_GB2312" w:eastAsia="仿宋_GB2312"/>
                <w:szCs w:val="21"/>
              </w:rPr>
            </w:pPr>
          </w:p>
        </w:tc>
        <w:tc>
          <w:tcPr>
            <w:tcW w:w="426" w:type="dxa"/>
            <w:gridSpan w:val="2"/>
            <w:shd w:val="clear" w:color="auto" w:fill="auto"/>
            <w:vAlign w:val="center"/>
          </w:tcPr>
          <w:p>
            <w:pPr>
              <w:rPr>
                <w:rFonts w:ascii="仿宋_GB2312" w:eastAsia="仿宋_GB2312"/>
                <w:szCs w:val="21"/>
              </w:rPr>
            </w:pPr>
            <w:r>
              <w:rPr>
                <w:rFonts w:hint="eastAsia" w:ascii="仿宋_GB2312" w:eastAsia="仿宋_GB2312"/>
                <w:szCs w:val="21"/>
              </w:rPr>
              <w:t>1</w:t>
            </w:r>
            <w:r>
              <w:rPr>
                <w:rFonts w:ascii="仿宋_GB2312" w:eastAsia="仿宋_GB2312"/>
                <w:szCs w:val="21"/>
              </w:rPr>
              <w:t>5</w:t>
            </w:r>
          </w:p>
        </w:tc>
        <w:tc>
          <w:tcPr>
            <w:tcW w:w="2929" w:type="dxa"/>
            <w:shd w:val="clear" w:color="auto" w:fill="auto"/>
            <w:vAlign w:val="center"/>
          </w:tcPr>
          <w:p>
            <w:pPr>
              <w:rPr>
                <w:rFonts w:ascii="仿宋_GB2312" w:eastAsia="仿宋_GB2312"/>
                <w:szCs w:val="21"/>
              </w:rPr>
            </w:pPr>
            <w:r>
              <w:rPr>
                <w:rFonts w:hint="eastAsia" w:ascii="仿宋_GB2312" w:eastAsia="仿宋_GB2312"/>
                <w:szCs w:val="21"/>
              </w:rPr>
              <w:t>其他要求（如有）</w:t>
            </w:r>
          </w:p>
        </w:tc>
        <w:tc>
          <w:tcPr>
            <w:tcW w:w="4028" w:type="dxa"/>
            <w:shd w:val="clear" w:color="auto" w:fill="auto"/>
            <w:vAlign w:val="center"/>
          </w:tcPr>
          <w:p>
            <w:pPr>
              <w:rPr>
                <w:rFonts w:ascii="仿宋_GB2312" w:eastAsia="仿宋_GB2312"/>
                <w:szCs w:val="21"/>
              </w:rPr>
            </w:pPr>
            <w:r>
              <w:rPr>
                <w:rFonts w:hint="eastAsia" w:ascii="仿宋_GB2312" w:eastAsia="仿宋_GB2312"/>
                <w:szCs w:val="21"/>
              </w:rPr>
              <w:t>符合招标文件要求</w:t>
            </w:r>
          </w:p>
        </w:tc>
        <w:tc>
          <w:tcPr>
            <w:tcW w:w="988"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64" w:type="dxa"/>
            <w:gridSpan w:val="5"/>
            <w:shd w:val="clear" w:color="auto" w:fill="auto"/>
            <w:vAlign w:val="center"/>
          </w:tcPr>
          <w:p>
            <w:pPr>
              <w:jc w:val="center"/>
              <w:rPr>
                <w:rFonts w:ascii="仿宋_GB2312" w:eastAsia="仿宋_GB2312"/>
                <w:szCs w:val="21"/>
              </w:rPr>
            </w:pPr>
            <w:r>
              <w:rPr>
                <w:rFonts w:hint="eastAsia" w:ascii="仿宋_GB2312" w:eastAsia="仿宋_GB2312"/>
                <w:szCs w:val="21"/>
              </w:rPr>
              <w:t>资格评审汇总</w:t>
            </w:r>
          </w:p>
        </w:tc>
        <w:tc>
          <w:tcPr>
            <w:tcW w:w="988" w:type="dxa"/>
            <w:shd w:val="clear" w:color="auto" w:fill="auto"/>
            <w:vAlign w:val="center"/>
          </w:tcPr>
          <w:p>
            <w:pPr>
              <w:rPr>
                <w:rFonts w:ascii="仿宋_GB2312" w:eastAsia="仿宋_GB2312"/>
                <w:szCs w:val="21"/>
              </w:rPr>
            </w:pPr>
          </w:p>
        </w:tc>
      </w:tr>
    </w:tbl>
    <w:p>
      <w:pPr>
        <w:spacing w:line="360" w:lineRule="exact"/>
        <w:rPr>
          <w:rFonts w:hAnsi="宋体"/>
          <w:sz w:val="24"/>
          <w:u w:val="double"/>
        </w:rPr>
      </w:pPr>
    </w:p>
    <w:p>
      <w:pPr>
        <w:spacing w:line="360" w:lineRule="exact"/>
        <w:rPr>
          <w:rFonts w:hAnsi="宋体"/>
          <w:color w:val="FF0000"/>
          <w:sz w:val="24"/>
        </w:rPr>
      </w:pPr>
      <w:r>
        <w:rPr>
          <w:rFonts w:hint="eastAsia" w:hAnsi="宋体"/>
          <w:color w:val="FF0000"/>
          <w:sz w:val="24"/>
        </w:rPr>
        <w:t>1、在资格评审阶段，评标委员会根据《</w:t>
      </w:r>
      <w:r>
        <w:rPr>
          <w:rFonts w:hAnsi="宋体"/>
          <w:color w:val="FF0000"/>
          <w:sz w:val="24"/>
        </w:rPr>
        <w:t>评标委员会和评标方法暂行规定</w:t>
      </w:r>
      <w:r>
        <w:rPr>
          <w:rFonts w:hint="eastAsia" w:hAnsi="宋体"/>
          <w:color w:val="FF0000"/>
          <w:sz w:val="24"/>
        </w:rPr>
        <w:t>》（国家七部委12号令）第20条、21条、22条、23条、25条的规定否决不合格投标后，因有效投标不足3个使得投标明显缺乏竞争的，评标委员会可以否决全部投标。</w:t>
      </w:r>
    </w:p>
    <w:p>
      <w:pPr>
        <w:spacing w:line="360" w:lineRule="exact"/>
        <w:rPr>
          <w:rFonts w:hAnsi="宋体"/>
          <w:color w:val="FF0000"/>
          <w:sz w:val="24"/>
        </w:rPr>
      </w:pPr>
      <w:r>
        <w:rPr>
          <w:rFonts w:hint="eastAsia" w:hAnsi="宋体"/>
          <w:color w:val="FF0000"/>
          <w:sz w:val="24"/>
        </w:rPr>
        <w:t>1.1有效投标人有2个时，评标委员会应当按照《</w:t>
      </w:r>
      <w:r>
        <w:rPr>
          <w:rFonts w:hAnsi="宋体"/>
          <w:color w:val="FF0000"/>
          <w:sz w:val="24"/>
        </w:rPr>
        <w:t>评标委员会和评标方法暂行规定</w:t>
      </w:r>
      <w:r>
        <w:rPr>
          <w:rFonts w:hint="eastAsia" w:hAnsi="宋体"/>
          <w:color w:val="FF0000"/>
          <w:sz w:val="24"/>
        </w:rPr>
        <w:t>》第28条规定进行详细评审，符合《</w:t>
      </w:r>
      <w:r>
        <w:rPr>
          <w:rFonts w:hAnsi="宋体"/>
          <w:color w:val="FF0000"/>
          <w:sz w:val="24"/>
        </w:rPr>
        <w:t>评标委员会和评标方法暂行规定</w:t>
      </w:r>
      <w:r>
        <w:rPr>
          <w:rFonts w:hint="eastAsia" w:hAnsi="宋体"/>
          <w:color w:val="FF0000"/>
          <w:sz w:val="24"/>
        </w:rPr>
        <w:t>》第31条、35条规定的，应当推荐为中标候选人。</w:t>
      </w:r>
    </w:p>
    <w:p>
      <w:pPr>
        <w:rPr>
          <w:rFonts w:hAnsi="宋体"/>
          <w:sz w:val="24"/>
        </w:rPr>
      </w:pPr>
      <w:r>
        <w:rPr>
          <w:rFonts w:hint="eastAsia" w:hAnsi="宋体"/>
          <w:color w:val="FF0000"/>
          <w:sz w:val="24"/>
        </w:rPr>
        <w:t>1.2在进入商务标评审阶段，有效投标人只有1个时，只要其报价合理且不是最高价，可以推荐为中标候选人。</w:t>
      </w:r>
    </w:p>
    <w:p>
      <w:pPr>
        <w:rPr>
          <w:rFonts w:hAnsi="宋体"/>
          <w:sz w:val="24"/>
        </w:rPr>
      </w:pPr>
      <w:r>
        <w:rPr>
          <w:rFonts w:hint="eastAsia" w:hAnsi="宋体"/>
          <w:sz w:val="24"/>
        </w:rPr>
        <w:t>评委会对通过资格审查的投标文件作进一步的评审。评审的基本步骤和基本要求如下：</w:t>
      </w:r>
    </w:p>
    <w:p>
      <w:pPr>
        <w:spacing w:line="360" w:lineRule="exact"/>
        <w:rPr>
          <w:rFonts w:hAnsi="宋体"/>
          <w:b/>
          <w:sz w:val="24"/>
        </w:rPr>
      </w:pPr>
      <w:r>
        <w:rPr>
          <w:rFonts w:hint="eastAsia" w:hAnsi="宋体"/>
          <w:b/>
          <w:sz w:val="24"/>
        </w:rPr>
        <w:t>34.2.2技术标评审</w:t>
      </w:r>
    </w:p>
    <w:p>
      <w:pPr>
        <w:ind w:firstLine="480" w:firstLineChars="200"/>
        <w:rPr>
          <w:rFonts w:ascii="仿宋_GB2312" w:hAnsi="宋体" w:eastAsia="仿宋_GB2312"/>
          <w:sz w:val="24"/>
        </w:rPr>
      </w:pPr>
      <w:r>
        <w:rPr>
          <w:rFonts w:hint="eastAsia" w:ascii="仿宋_GB2312" w:hAnsi="宋体" w:eastAsia="仿宋_GB2312"/>
          <w:sz w:val="24"/>
        </w:rPr>
        <w:t>由评标委员会对资格审查合格的投标人的技术标书进行符合性评审，评审结论分为通过和不予通过。对否定的技术标，评委要提出充足的否定理由，并填写在技术标评标记录上；对出现认定异议的，按照少数服从多数的原则由评委采取投票方式表决确定。</w:t>
      </w:r>
    </w:p>
    <w:p>
      <w:pPr>
        <w:ind w:firstLine="240" w:firstLineChars="100"/>
        <w:rPr>
          <w:rFonts w:ascii="仿宋_GB2312" w:hAnsi="宋体" w:eastAsia="仿宋_GB2312"/>
          <w:sz w:val="24"/>
        </w:rPr>
      </w:pPr>
      <w:r>
        <w:rPr>
          <w:rFonts w:hint="eastAsia" w:ascii="仿宋_GB2312" w:hAnsi="宋体" w:eastAsia="仿宋_GB2312"/>
          <w:sz w:val="24"/>
        </w:rPr>
        <w:t>评标委员会主要从以下几个方面对投标人的技术标进行评审。</w:t>
      </w:r>
    </w:p>
    <w:p>
      <w:pPr>
        <w:rPr>
          <w:rFonts w:ascii="仿宋_GB2312" w:hAnsi="宋体" w:eastAsia="仿宋_GB2312"/>
          <w:sz w:val="24"/>
        </w:rPr>
      </w:pPr>
      <w:r>
        <w:rPr>
          <w:rFonts w:hint="eastAsia" w:ascii="仿宋_GB2312" w:hAnsi="宋体" w:eastAsia="仿宋_GB2312"/>
          <w:sz w:val="24"/>
        </w:rPr>
        <w:t>一、技术标初审；</w:t>
      </w:r>
    </w:p>
    <w:p>
      <w:pPr>
        <w:rPr>
          <w:rFonts w:ascii="仿宋_GB2312" w:hAnsi="宋体" w:eastAsia="仿宋_GB2312"/>
          <w:sz w:val="24"/>
        </w:rPr>
      </w:pPr>
      <w:r>
        <w:rPr>
          <w:rFonts w:hint="eastAsia" w:ascii="仿宋_GB2312" w:hAnsi="宋体" w:eastAsia="仿宋_GB2312"/>
          <w:sz w:val="24"/>
        </w:rPr>
        <w:t>二、技术标详细评审。</w:t>
      </w:r>
    </w:p>
    <w:p>
      <w:pPr>
        <w:rPr>
          <w:rFonts w:ascii="仿宋_GB2312" w:hAnsi="宋体" w:eastAsia="仿宋_GB2312"/>
          <w:sz w:val="24"/>
        </w:rPr>
      </w:pPr>
      <w:r>
        <w:rPr>
          <w:rFonts w:hint="eastAsia" w:ascii="仿宋_GB2312" w:hAnsi="宋体" w:eastAsia="仿宋_GB2312"/>
          <w:sz w:val="24"/>
        </w:rPr>
        <w:t xml:space="preserve">(1)、施工组织设计： </w:t>
      </w:r>
    </w:p>
    <w:p>
      <w:pPr>
        <w:jc w:val="left"/>
        <w:rPr>
          <w:rFonts w:ascii="仿宋_GB2312" w:hAnsi="宋体" w:eastAsia="仿宋_GB2312"/>
          <w:sz w:val="24"/>
        </w:rPr>
      </w:pPr>
      <w:r>
        <w:rPr>
          <w:rFonts w:hint="eastAsia" w:ascii="仿宋_GB2312" w:hAnsi="华文仿宋" w:eastAsia="仿宋_GB2312"/>
          <w:sz w:val="24"/>
        </w:rPr>
        <w:t>①</w:t>
      </w:r>
      <w:r>
        <w:rPr>
          <w:rFonts w:hint="eastAsia" w:ascii="仿宋_GB2312" w:eastAsia="仿宋_GB2312"/>
          <w:sz w:val="24"/>
        </w:rPr>
        <w:t>主要施工方法：各主要分部施工方法符合项目实际，须有详尽的施工技术方</w:t>
      </w:r>
      <w:r>
        <w:rPr>
          <w:rFonts w:hint="eastAsia" w:ascii="仿宋_GB2312" w:hAnsi="宋体" w:eastAsia="仿宋_GB2312"/>
          <w:sz w:val="24"/>
        </w:rPr>
        <w:t>案，工艺先进、方法科学合理、可行，能指导具体施工并确保安全。</w:t>
      </w:r>
    </w:p>
    <w:p>
      <w:pPr>
        <w:jc w:val="left"/>
        <w:rPr>
          <w:rFonts w:ascii="仿宋_GB2312" w:hAnsi="宋体" w:eastAsia="仿宋_GB2312"/>
          <w:sz w:val="24"/>
        </w:rPr>
      </w:pPr>
      <w:r>
        <w:rPr>
          <w:rFonts w:hint="eastAsia" w:ascii="仿宋_GB2312" w:hAnsi="华文仿宋" w:eastAsia="仿宋_GB2312"/>
          <w:sz w:val="24"/>
        </w:rPr>
        <w:t>②</w:t>
      </w:r>
      <w:r>
        <w:rPr>
          <w:rFonts w:hint="eastAsia" w:ascii="仿宋_GB2312" w:hAnsi="宋体" w:eastAsia="仿宋_GB2312"/>
          <w:sz w:val="24"/>
        </w:rPr>
        <w:t>拟投入的主要物资计划：投入的施工材料有详细计划且计划周密，数量、选型配置、进场数量、时间安排合理，满足施工需要。</w:t>
      </w:r>
    </w:p>
    <w:p>
      <w:pPr>
        <w:jc w:val="left"/>
        <w:rPr>
          <w:rFonts w:ascii="仿宋_GB2312" w:hAnsi="宋体" w:eastAsia="仿宋_GB2312"/>
          <w:sz w:val="24"/>
        </w:rPr>
      </w:pPr>
      <w:r>
        <w:rPr>
          <w:rFonts w:hint="eastAsia" w:ascii="仿宋_GB2312" w:hAnsi="华文仿宋" w:eastAsia="仿宋_GB2312"/>
          <w:sz w:val="24"/>
        </w:rPr>
        <w:t>③</w:t>
      </w:r>
      <w:r>
        <w:rPr>
          <w:rFonts w:hint="eastAsia" w:ascii="仿宋_GB2312" w:hAnsi="宋体" w:eastAsia="仿宋_GB2312"/>
          <w:sz w:val="24"/>
        </w:rPr>
        <w:t>拟投入的主要施工机械、设备计划：投入的施工机械、设备、机具有详细计划且计划周密，设备数量、选型配置、进场数量、时间安排合理，满足施工需要。</w:t>
      </w:r>
    </w:p>
    <w:p>
      <w:pPr>
        <w:jc w:val="left"/>
        <w:rPr>
          <w:rFonts w:ascii="仿宋_GB2312" w:hAnsi="宋体" w:eastAsia="仿宋_GB2312"/>
          <w:sz w:val="24"/>
        </w:rPr>
      </w:pPr>
      <w:r>
        <w:rPr>
          <w:rFonts w:hint="eastAsia" w:ascii="仿宋_GB2312" w:hAnsi="华文仿宋" w:eastAsia="仿宋_GB2312"/>
          <w:sz w:val="24"/>
        </w:rPr>
        <w:t>④</w:t>
      </w:r>
      <w:r>
        <w:rPr>
          <w:rFonts w:hint="eastAsia" w:ascii="仿宋_GB2312" w:hAnsi="宋体" w:eastAsia="仿宋_GB2312"/>
          <w:sz w:val="24"/>
        </w:rPr>
        <w:t>劳动力安排计划：各主要施工工序应有详细周密的劳动力安排计划明细，有各工种劳动力安排计划，劳动力投入经济合理，满足施工需要。</w:t>
      </w:r>
    </w:p>
    <w:p>
      <w:pPr>
        <w:jc w:val="left"/>
        <w:rPr>
          <w:rFonts w:ascii="仿宋_GB2312" w:hAnsi="宋体" w:eastAsia="仿宋_GB2312"/>
          <w:sz w:val="24"/>
        </w:rPr>
      </w:pPr>
      <w:r>
        <w:rPr>
          <w:rFonts w:hint="eastAsia" w:ascii="仿宋_GB2312" w:hAnsi="华文仿宋" w:eastAsia="仿宋_GB2312"/>
          <w:sz w:val="24"/>
        </w:rPr>
        <w:t>⑤</w:t>
      </w:r>
      <w:r>
        <w:rPr>
          <w:rFonts w:hint="eastAsia" w:ascii="仿宋_GB2312" w:hAnsi="宋体" w:eastAsia="仿宋_GB2312"/>
          <w:sz w:val="24"/>
        </w:rPr>
        <w:t>确保工程质量的技术组织措施：施工项目应有专门的质量技术管理班子和制度，且人员配备合理，制度健全。主要工序应有质量技术保证措施和手段，自控体系完整，能有效保证技术质量，达到承诺的质量标准。</w:t>
      </w:r>
    </w:p>
    <w:p>
      <w:pPr>
        <w:jc w:val="left"/>
        <w:rPr>
          <w:rFonts w:ascii="仿宋_GB2312" w:hAnsi="宋体" w:eastAsia="仿宋_GB2312"/>
          <w:sz w:val="24"/>
        </w:rPr>
      </w:pPr>
      <w:r>
        <w:rPr>
          <w:rFonts w:hint="eastAsia" w:ascii="仿宋_GB2312" w:hAnsi="华文仿宋" w:eastAsia="仿宋_GB2312"/>
          <w:sz w:val="24"/>
        </w:rPr>
        <w:t>⑥</w:t>
      </w:r>
      <w:r>
        <w:rPr>
          <w:rFonts w:hint="eastAsia" w:ascii="仿宋_GB2312" w:hAnsi="宋体" w:eastAsia="仿宋_GB2312"/>
          <w:sz w:val="24"/>
        </w:rPr>
        <w:t>确保安全生产的技术组织措施 ：施工项目应有专门的安全管理人员和制度，且人员配备合理，制度健全，各道工序安全技术措施针对性强，符合实际且满足有关安全技术标准要求。现场防火、社会治安安全措施得力。</w:t>
      </w:r>
    </w:p>
    <w:p>
      <w:pPr>
        <w:jc w:val="left"/>
        <w:rPr>
          <w:rFonts w:ascii="仿宋_GB2312" w:hAnsi="宋体" w:eastAsia="仿宋_GB2312"/>
          <w:sz w:val="24"/>
        </w:rPr>
      </w:pPr>
      <w:r>
        <w:rPr>
          <w:rFonts w:hint="eastAsia" w:ascii="仿宋_GB2312" w:hAnsi="华文仿宋" w:eastAsia="仿宋_GB2312"/>
          <w:sz w:val="24"/>
        </w:rPr>
        <w:t>⑦</w:t>
      </w:r>
      <w:r>
        <w:rPr>
          <w:rFonts w:hint="eastAsia" w:ascii="仿宋_GB2312" w:hAnsi="宋体" w:eastAsia="仿宋_GB2312"/>
          <w:sz w:val="24"/>
        </w:rPr>
        <w:t>确保工期的技术组织措施：在施工工艺、施工方法、材料选用、劳动力安排、技术等方面有保证工期的具体措施且措施得当。有控制工期的施工进度计划。应有施工总进度表或施工网络图，各项计划图表编制完善，安排科学合理，符合本项目施工实际要求。</w:t>
      </w:r>
    </w:p>
    <w:p>
      <w:pPr>
        <w:jc w:val="left"/>
        <w:rPr>
          <w:rFonts w:ascii="仿宋_GB2312" w:hAnsi="宋体" w:eastAsia="仿宋_GB2312"/>
          <w:sz w:val="24"/>
        </w:rPr>
      </w:pPr>
      <w:r>
        <w:rPr>
          <w:rFonts w:hint="eastAsia" w:ascii="仿宋_GB2312" w:hAnsi="华文仿宋" w:eastAsia="仿宋_GB2312"/>
          <w:sz w:val="24"/>
        </w:rPr>
        <w:t>⑧</w:t>
      </w:r>
      <w:r>
        <w:rPr>
          <w:rFonts w:hint="eastAsia" w:ascii="仿宋_GB2312" w:hAnsi="宋体" w:eastAsia="仿宋_GB2312"/>
          <w:sz w:val="24"/>
        </w:rPr>
        <w:t>确保文明施工的技术组织措施：针对本工程项目特点，应有现场文明施工计划，环境保护措施，且计划措施内容应达到“安全文明示范工地”标准。各项措施周全、具体、有效。有具体实现现场文明施工目标的承诺。</w:t>
      </w:r>
    </w:p>
    <w:p>
      <w:pPr>
        <w:jc w:val="left"/>
        <w:rPr>
          <w:rFonts w:ascii="仿宋_GB2312" w:hAnsi="宋体" w:eastAsia="仿宋_GB2312"/>
          <w:sz w:val="24"/>
        </w:rPr>
      </w:pPr>
      <w:r>
        <w:rPr>
          <w:rFonts w:hint="eastAsia" w:ascii="仿宋_GB2312" w:hAnsi="华文仿宋" w:eastAsia="仿宋_GB2312"/>
          <w:sz w:val="24"/>
        </w:rPr>
        <w:t>⑨</w:t>
      </w:r>
      <w:r>
        <w:rPr>
          <w:rFonts w:hint="eastAsia" w:ascii="仿宋_GB2312" w:hAnsi="宋体" w:eastAsia="仿宋_GB2312"/>
          <w:sz w:val="24"/>
        </w:rPr>
        <w:t>工程施工的重点和难点及保证措施是否正确。</w:t>
      </w:r>
    </w:p>
    <w:p>
      <w:pPr>
        <w:jc w:val="left"/>
        <w:rPr>
          <w:rFonts w:ascii="仿宋_GB2312" w:hAnsi="宋体" w:eastAsia="仿宋_GB2312"/>
          <w:sz w:val="24"/>
        </w:rPr>
      </w:pPr>
      <w:r>
        <w:rPr>
          <w:rFonts w:hint="eastAsia" w:ascii="仿宋_GB2312" w:hAnsi="宋体" w:eastAsia="仿宋_GB2312"/>
          <w:sz w:val="24"/>
        </w:rPr>
        <w:t>⑩施工总平面布置图 ：应有施工总平面布置图，安排科学合理，符合本项目施工实际要求。 （安装类项目从需要）</w:t>
      </w:r>
    </w:p>
    <w:p>
      <w:pPr>
        <w:jc w:val="left"/>
        <w:rPr>
          <w:rFonts w:ascii="仿宋_GB2312" w:hAnsi="宋体" w:eastAsia="仿宋_GB2312"/>
          <w:sz w:val="24"/>
        </w:rPr>
      </w:pPr>
      <w:r>
        <w:rPr>
          <w:rFonts w:hint="eastAsia" w:ascii="仿宋_GB2312" w:hAnsi="宋体" w:eastAsia="仿宋_GB2312"/>
          <w:sz w:val="24"/>
        </w:rPr>
        <w:fldChar w:fldCharType="begin"/>
      </w:r>
      <w:r>
        <w:rPr>
          <w:rFonts w:hint="eastAsia" w:ascii="仿宋_GB2312" w:hAnsi="宋体" w:eastAsia="仿宋_GB2312"/>
          <w:sz w:val="24"/>
        </w:rPr>
        <w:instrText xml:space="preserve"> eq \o\ac(○,</w:instrText>
      </w:r>
      <w:r>
        <w:rPr>
          <w:rFonts w:hint="eastAsia" w:ascii="仿宋_GB2312" w:hAnsi="宋体" w:eastAsia="仿宋_GB2312"/>
          <w:position w:val="2"/>
          <w:sz w:val="16"/>
        </w:rPr>
        <w:instrText xml:space="preserve">11</w:instrText>
      </w:r>
      <w:r>
        <w:rPr>
          <w:rFonts w:hint="eastAsia" w:ascii="仿宋_GB2312" w:hAnsi="宋体" w:eastAsia="仿宋_GB2312"/>
          <w:sz w:val="24"/>
        </w:rPr>
        <w:instrText xml:space="preserve">)</w:instrText>
      </w:r>
      <w:r>
        <w:rPr>
          <w:rFonts w:hint="eastAsia" w:ascii="仿宋_GB2312" w:hAnsi="宋体" w:eastAsia="仿宋_GB2312"/>
          <w:sz w:val="24"/>
        </w:rPr>
        <w:fldChar w:fldCharType="end"/>
      </w:r>
      <w:r>
        <w:rPr>
          <w:rFonts w:hint="eastAsia" w:ascii="仿宋_GB2312" w:hAnsi="宋体" w:eastAsia="仿宋_GB2312"/>
          <w:sz w:val="24"/>
        </w:rPr>
        <w:t>施工组织设计的针对性、完整性。</w:t>
      </w:r>
    </w:p>
    <w:p>
      <w:pPr>
        <w:ind w:firstLine="480" w:firstLineChars="200"/>
        <w:rPr>
          <w:rFonts w:ascii="仿宋_GB2312" w:hAnsi="宋体" w:eastAsia="仿宋_GB2312"/>
          <w:sz w:val="24"/>
        </w:rPr>
      </w:pPr>
      <w:r>
        <w:rPr>
          <w:rFonts w:hint="eastAsia" w:ascii="仿宋_GB2312" w:hAnsi="宋体" w:eastAsia="仿宋_GB2312"/>
          <w:sz w:val="24"/>
        </w:rPr>
        <w:t>评委在评比施工组织设计时，结合本工程特点及招标文件的要求对投标单位编制的施工组织设计逐项评定，查看是否科学、合理、可行；主要施工机械、劳动力是否合理，满足施工要求；质量要求、安全生产、文明施工、工期技术组织是否完善、工程网络计划及施工总平面图布置是否与现场相符，且无原则性错误。</w:t>
      </w:r>
    </w:p>
    <w:p>
      <w:pPr>
        <w:rPr>
          <w:rFonts w:ascii="仿宋_GB2312" w:hAnsi="宋体" w:eastAsia="仿宋_GB2312"/>
          <w:sz w:val="24"/>
        </w:rPr>
      </w:pPr>
      <w:r>
        <w:rPr>
          <w:rFonts w:hint="eastAsia" w:ascii="仿宋_GB2312" w:hAnsi="宋体" w:eastAsia="仿宋_GB2312"/>
          <w:sz w:val="24"/>
        </w:rPr>
        <w:t>(2)、项目班子配备</w:t>
      </w:r>
    </w:p>
    <w:p>
      <w:pPr>
        <w:rPr>
          <w:rFonts w:ascii="仿宋_GB2312" w:hAnsi="宋体" w:eastAsia="仿宋_GB2312"/>
          <w:sz w:val="24"/>
        </w:rPr>
      </w:pPr>
      <w:r>
        <w:rPr>
          <w:rFonts w:hint="eastAsia" w:ascii="仿宋_GB2312" w:hAnsi="宋体" w:eastAsia="仿宋_GB2312"/>
          <w:sz w:val="24"/>
        </w:rPr>
        <w:t>1.项目经理：拟任项目经理必须与资格审查合格通过的项目经理在名称、专业、资质等级、类似工程业绩等方面一致；</w:t>
      </w:r>
    </w:p>
    <w:p>
      <w:pPr>
        <w:rPr>
          <w:rFonts w:ascii="仿宋_GB2312" w:eastAsia="仿宋_GB2312"/>
          <w:b/>
          <w:szCs w:val="21"/>
        </w:rPr>
      </w:pPr>
      <w:r>
        <w:rPr>
          <w:rFonts w:ascii="仿宋_GB2312" w:hAnsi="宋体" w:eastAsia="仿宋_GB2312"/>
          <w:sz w:val="24"/>
        </w:rPr>
        <w:t>2.</w:t>
      </w:r>
      <w:r>
        <w:rPr>
          <w:rFonts w:hint="eastAsia" w:ascii="仿宋_GB2312" w:hAnsi="宋体" w:eastAsia="仿宋_GB2312"/>
          <w:sz w:val="24"/>
        </w:rPr>
        <w:t>项目班子人员构成：人员齐备、专业配套，具备相关岗位证书：项目部及项目分部拟派该工程管理的人员专业配套、证件齐全；</w:t>
      </w:r>
    </w:p>
    <w:permEnd w:id="87"/>
    <w:p>
      <w:pPr>
        <w:widowControl/>
        <w:jc w:val="left"/>
        <w:rPr>
          <w:rFonts w:ascii="仿宋_GB2312" w:eastAsia="仿宋_GB2312"/>
          <w:b/>
          <w:szCs w:val="21"/>
        </w:rPr>
      </w:pPr>
      <w:r>
        <w:rPr>
          <w:rFonts w:ascii="仿宋_GB2312" w:eastAsia="仿宋_GB2312"/>
          <w:b/>
          <w:szCs w:val="21"/>
        </w:rPr>
        <w:br w:type="page"/>
      </w:r>
    </w:p>
    <w:p>
      <w:pPr>
        <w:spacing w:line="480" w:lineRule="auto"/>
        <w:rPr>
          <w:rFonts w:ascii="仿宋_GB2312" w:eastAsia="仿宋_GB2312"/>
          <w:b/>
          <w:szCs w:val="21"/>
        </w:rPr>
      </w:pPr>
    </w:p>
    <w:p>
      <w:pPr>
        <w:pStyle w:val="89"/>
        <w:widowControl w:val="0"/>
        <w:spacing w:before="0" w:beforeAutospacing="0" w:after="0" w:afterAutospacing="0"/>
        <w:jc w:val="center"/>
        <w:rPr>
          <w:rFonts w:ascii="仿宋_GB2312" w:eastAsia="仿宋_GB2312"/>
          <w:b/>
          <w:sz w:val="36"/>
        </w:rPr>
      </w:pPr>
      <w:permStart w:id="88" w:edGrp="everyone"/>
      <w:r>
        <w:rPr>
          <w:rFonts w:hint="eastAsia" w:ascii="仿宋_GB2312" w:eastAsia="仿宋_GB2312"/>
          <w:b/>
          <w:sz w:val="36"/>
        </w:rPr>
        <w:t>技术标初审</w:t>
      </w:r>
    </w:p>
    <w:tbl>
      <w:tblPr>
        <w:tblStyle w:val="49"/>
        <w:tblW w:w="92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1"/>
        <w:gridCol w:w="1697"/>
        <w:gridCol w:w="4688"/>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651" w:type="dxa"/>
            <w:shd w:val="clear" w:color="auto" w:fill="auto"/>
            <w:vAlign w:val="center"/>
          </w:tcPr>
          <w:p>
            <w:pPr>
              <w:jc w:val="center"/>
              <w:rPr>
                <w:rFonts w:ascii="仿宋_GB2312" w:eastAsia="仿宋_GB2312"/>
                <w:b/>
                <w:szCs w:val="21"/>
              </w:rPr>
            </w:pPr>
            <w:r>
              <w:rPr>
                <w:rFonts w:hint="eastAsia" w:ascii="仿宋_GB2312" w:eastAsia="仿宋_GB2312"/>
                <w:b/>
                <w:szCs w:val="21"/>
              </w:rPr>
              <w:t>评审名称</w:t>
            </w:r>
          </w:p>
        </w:tc>
        <w:tc>
          <w:tcPr>
            <w:tcW w:w="1697" w:type="dxa"/>
            <w:shd w:val="clear" w:color="auto" w:fill="auto"/>
            <w:vAlign w:val="center"/>
          </w:tcPr>
          <w:p>
            <w:pPr>
              <w:jc w:val="center"/>
              <w:rPr>
                <w:rFonts w:ascii="仿宋_GB2312" w:eastAsia="仿宋_GB2312"/>
                <w:b/>
                <w:szCs w:val="21"/>
              </w:rPr>
            </w:pPr>
            <w:r>
              <w:rPr>
                <w:rFonts w:hint="eastAsia" w:ascii="仿宋_GB2312" w:eastAsia="仿宋_GB2312"/>
                <w:b/>
                <w:szCs w:val="21"/>
              </w:rPr>
              <w:t>评审因素</w:t>
            </w:r>
          </w:p>
        </w:tc>
        <w:tc>
          <w:tcPr>
            <w:tcW w:w="4688" w:type="dxa"/>
            <w:shd w:val="clear" w:color="auto" w:fill="auto"/>
            <w:vAlign w:val="center"/>
          </w:tcPr>
          <w:p>
            <w:pPr>
              <w:jc w:val="center"/>
              <w:rPr>
                <w:rFonts w:ascii="仿宋_GB2312" w:eastAsia="仿宋_GB2312"/>
                <w:szCs w:val="21"/>
              </w:rPr>
            </w:pPr>
            <w:r>
              <w:rPr>
                <w:rFonts w:hint="eastAsia" w:ascii="仿宋_GB2312" w:eastAsia="仿宋_GB2312"/>
                <w:b/>
                <w:szCs w:val="21"/>
              </w:rPr>
              <w:t>评审标准</w:t>
            </w:r>
          </w:p>
        </w:tc>
        <w:tc>
          <w:tcPr>
            <w:tcW w:w="1211" w:type="dxa"/>
            <w:shd w:val="clear" w:color="auto" w:fill="auto"/>
            <w:vAlign w:val="center"/>
          </w:tcPr>
          <w:p>
            <w:pPr>
              <w:jc w:val="center"/>
              <w:rPr>
                <w:rFonts w:ascii="仿宋_GB2312" w:eastAsia="仿宋_GB2312"/>
                <w:b/>
                <w:szCs w:val="21"/>
              </w:rPr>
            </w:pPr>
            <w:r>
              <w:rPr>
                <w:rFonts w:hint="eastAsia" w:ascii="仿宋_GB2312" w:eastAsia="仿宋_GB2312"/>
                <w:b/>
                <w:szCs w:val="21"/>
              </w:rPr>
              <w:t>是否通过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651"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符合性</w:t>
            </w:r>
          </w:p>
          <w:p>
            <w:pPr>
              <w:jc w:val="center"/>
              <w:rPr>
                <w:rFonts w:ascii="仿宋_GB2312" w:eastAsia="仿宋_GB2312"/>
                <w:szCs w:val="21"/>
              </w:rPr>
            </w:pPr>
            <w:r>
              <w:rPr>
                <w:rFonts w:hint="eastAsia" w:ascii="仿宋_GB2312" w:eastAsia="仿宋_GB2312"/>
                <w:szCs w:val="21"/>
              </w:rPr>
              <w:t>评审标准</w:t>
            </w:r>
          </w:p>
        </w:tc>
        <w:tc>
          <w:tcPr>
            <w:tcW w:w="1697" w:type="dxa"/>
            <w:shd w:val="clear" w:color="auto" w:fill="auto"/>
            <w:vAlign w:val="center"/>
          </w:tcPr>
          <w:p>
            <w:pPr>
              <w:rPr>
                <w:rFonts w:ascii="仿宋_GB2312" w:eastAsia="仿宋_GB2312"/>
                <w:szCs w:val="21"/>
              </w:rPr>
            </w:pPr>
            <w:r>
              <w:rPr>
                <w:rFonts w:hint="eastAsia" w:ascii="仿宋_GB2312" w:eastAsia="仿宋_GB2312"/>
                <w:szCs w:val="21"/>
              </w:rPr>
              <w:t>投标人名称</w:t>
            </w:r>
          </w:p>
        </w:tc>
        <w:tc>
          <w:tcPr>
            <w:tcW w:w="4688" w:type="dxa"/>
            <w:shd w:val="clear" w:color="auto" w:fill="auto"/>
            <w:vAlign w:val="center"/>
          </w:tcPr>
          <w:p>
            <w:pPr>
              <w:rPr>
                <w:rFonts w:ascii="仿宋_GB2312" w:eastAsia="仿宋_GB2312"/>
                <w:szCs w:val="21"/>
              </w:rPr>
            </w:pPr>
            <w:r>
              <w:rPr>
                <w:rFonts w:hint="eastAsia" w:ascii="仿宋_GB2312" w:eastAsia="仿宋_GB2312"/>
                <w:szCs w:val="21"/>
              </w:rPr>
              <w:t>与营业执照、资质证书、安全生产许可证一致</w:t>
            </w:r>
          </w:p>
        </w:tc>
        <w:tc>
          <w:tcPr>
            <w:tcW w:w="1211"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651" w:type="dxa"/>
            <w:vMerge w:val="continue"/>
            <w:shd w:val="clear" w:color="auto" w:fill="auto"/>
          </w:tcPr>
          <w:p>
            <w:pPr>
              <w:rPr>
                <w:rFonts w:ascii="仿宋_GB2312" w:eastAsia="仿宋_GB2312"/>
                <w:szCs w:val="21"/>
              </w:rPr>
            </w:pPr>
          </w:p>
        </w:tc>
        <w:tc>
          <w:tcPr>
            <w:tcW w:w="1697" w:type="dxa"/>
            <w:shd w:val="clear" w:color="auto" w:fill="auto"/>
            <w:vAlign w:val="center"/>
          </w:tcPr>
          <w:p>
            <w:pPr>
              <w:rPr>
                <w:rFonts w:ascii="仿宋_GB2312" w:eastAsia="仿宋_GB2312"/>
                <w:szCs w:val="21"/>
              </w:rPr>
            </w:pPr>
            <w:r>
              <w:rPr>
                <w:rFonts w:hint="eastAsia" w:ascii="仿宋_GB2312" w:eastAsia="仿宋_GB2312"/>
                <w:szCs w:val="21"/>
              </w:rPr>
              <w:t>投标文件格式</w:t>
            </w:r>
          </w:p>
        </w:tc>
        <w:tc>
          <w:tcPr>
            <w:tcW w:w="4688" w:type="dxa"/>
            <w:shd w:val="clear" w:color="auto" w:fill="auto"/>
            <w:vAlign w:val="center"/>
          </w:tcPr>
          <w:p>
            <w:pPr>
              <w:rPr>
                <w:rFonts w:ascii="仿宋_GB2312" w:eastAsia="仿宋_GB2312"/>
                <w:szCs w:val="21"/>
              </w:rPr>
            </w:pPr>
            <w:r>
              <w:rPr>
                <w:rFonts w:hint="eastAsia" w:ascii="仿宋_GB2312" w:eastAsia="仿宋_GB2312"/>
                <w:szCs w:val="21"/>
              </w:rPr>
              <w:t>符合招标文件要求</w:t>
            </w:r>
          </w:p>
        </w:tc>
        <w:tc>
          <w:tcPr>
            <w:tcW w:w="1211"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651" w:type="dxa"/>
            <w:vMerge w:val="continue"/>
            <w:shd w:val="clear" w:color="auto" w:fill="auto"/>
          </w:tcPr>
          <w:p>
            <w:pPr>
              <w:rPr>
                <w:rFonts w:ascii="仿宋_GB2312" w:eastAsia="仿宋_GB2312"/>
                <w:szCs w:val="21"/>
              </w:rPr>
            </w:pPr>
          </w:p>
        </w:tc>
        <w:tc>
          <w:tcPr>
            <w:tcW w:w="1697" w:type="dxa"/>
            <w:shd w:val="clear" w:color="auto" w:fill="auto"/>
            <w:vAlign w:val="center"/>
          </w:tcPr>
          <w:p>
            <w:pPr>
              <w:rPr>
                <w:rFonts w:ascii="仿宋_GB2312" w:eastAsia="仿宋_GB2312"/>
                <w:szCs w:val="21"/>
              </w:rPr>
            </w:pPr>
            <w:r>
              <w:rPr>
                <w:rFonts w:hint="eastAsia" w:ascii="仿宋_GB2312" w:eastAsia="仿宋_GB2312"/>
                <w:szCs w:val="21"/>
              </w:rPr>
              <w:t>联合体投标人</w:t>
            </w:r>
          </w:p>
        </w:tc>
        <w:tc>
          <w:tcPr>
            <w:tcW w:w="4688" w:type="dxa"/>
            <w:shd w:val="clear" w:color="auto" w:fill="auto"/>
            <w:vAlign w:val="center"/>
          </w:tcPr>
          <w:p>
            <w:pPr>
              <w:rPr>
                <w:rFonts w:ascii="仿宋_GB2312" w:eastAsia="仿宋_GB2312"/>
                <w:szCs w:val="21"/>
              </w:rPr>
            </w:pPr>
            <w:r>
              <w:rPr>
                <w:rFonts w:hint="eastAsia" w:ascii="仿宋_GB2312" w:eastAsia="仿宋_GB2312"/>
                <w:szCs w:val="21"/>
              </w:rPr>
              <w:t>提交联合体协议书，并明确联合体牵头人（如有）</w:t>
            </w:r>
          </w:p>
        </w:tc>
        <w:tc>
          <w:tcPr>
            <w:tcW w:w="1211"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651" w:type="dxa"/>
            <w:vMerge w:val="continue"/>
            <w:shd w:val="clear" w:color="auto" w:fill="auto"/>
          </w:tcPr>
          <w:p>
            <w:pPr>
              <w:rPr>
                <w:rFonts w:ascii="仿宋_GB2312" w:eastAsia="仿宋_GB2312"/>
                <w:szCs w:val="21"/>
              </w:rPr>
            </w:pPr>
          </w:p>
        </w:tc>
        <w:tc>
          <w:tcPr>
            <w:tcW w:w="1697" w:type="dxa"/>
            <w:shd w:val="clear" w:color="auto" w:fill="auto"/>
            <w:vAlign w:val="center"/>
          </w:tcPr>
          <w:p>
            <w:pPr>
              <w:rPr>
                <w:rFonts w:ascii="仿宋_GB2312" w:eastAsia="仿宋_GB2312"/>
                <w:szCs w:val="21"/>
              </w:rPr>
            </w:pPr>
            <w:r>
              <w:rPr>
                <w:rFonts w:hint="eastAsia" w:ascii="仿宋_GB2312" w:eastAsia="仿宋_GB2312"/>
                <w:szCs w:val="21"/>
              </w:rPr>
              <w:t>工期</w:t>
            </w:r>
          </w:p>
        </w:tc>
        <w:tc>
          <w:tcPr>
            <w:tcW w:w="4688" w:type="dxa"/>
            <w:shd w:val="clear" w:color="auto" w:fill="auto"/>
            <w:vAlign w:val="center"/>
          </w:tcPr>
          <w:p>
            <w:pPr>
              <w:rPr>
                <w:rFonts w:ascii="仿宋_GB2312" w:eastAsia="仿宋_GB2312"/>
                <w:szCs w:val="21"/>
              </w:rPr>
            </w:pPr>
            <w:r>
              <w:rPr>
                <w:rFonts w:hint="eastAsia" w:ascii="仿宋_GB2312" w:eastAsia="仿宋_GB2312"/>
                <w:szCs w:val="21"/>
              </w:rPr>
              <w:t>符合招标文件要求</w:t>
            </w:r>
          </w:p>
        </w:tc>
        <w:tc>
          <w:tcPr>
            <w:tcW w:w="1211"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651" w:type="dxa"/>
            <w:vMerge w:val="continue"/>
            <w:shd w:val="clear" w:color="auto" w:fill="auto"/>
          </w:tcPr>
          <w:p>
            <w:pPr>
              <w:rPr>
                <w:rFonts w:ascii="仿宋_GB2312" w:eastAsia="仿宋_GB2312"/>
                <w:szCs w:val="21"/>
              </w:rPr>
            </w:pPr>
          </w:p>
        </w:tc>
        <w:tc>
          <w:tcPr>
            <w:tcW w:w="1697" w:type="dxa"/>
            <w:shd w:val="clear" w:color="auto" w:fill="auto"/>
            <w:vAlign w:val="center"/>
          </w:tcPr>
          <w:p>
            <w:pPr>
              <w:rPr>
                <w:rFonts w:ascii="仿宋_GB2312" w:eastAsia="仿宋_GB2312"/>
                <w:szCs w:val="21"/>
              </w:rPr>
            </w:pPr>
            <w:r>
              <w:rPr>
                <w:rFonts w:hint="eastAsia" w:ascii="仿宋_GB2312" w:eastAsia="仿宋_GB2312"/>
                <w:szCs w:val="21"/>
              </w:rPr>
              <w:t>工程质量</w:t>
            </w:r>
          </w:p>
        </w:tc>
        <w:tc>
          <w:tcPr>
            <w:tcW w:w="4688" w:type="dxa"/>
            <w:shd w:val="clear" w:color="auto" w:fill="auto"/>
            <w:vAlign w:val="center"/>
          </w:tcPr>
          <w:p>
            <w:pPr>
              <w:rPr>
                <w:rFonts w:ascii="仿宋_GB2312" w:eastAsia="仿宋_GB2312"/>
                <w:szCs w:val="21"/>
              </w:rPr>
            </w:pPr>
            <w:r>
              <w:rPr>
                <w:rFonts w:hint="eastAsia" w:ascii="仿宋_GB2312" w:eastAsia="仿宋_GB2312"/>
                <w:szCs w:val="21"/>
              </w:rPr>
              <w:t>符合招标文件要求</w:t>
            </w:r>
          </w:p>
        </w:tc>
        <w:tc>
          <w:tcPr>
            <w:tcW w:w="1211"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651" w:type="dxa"/>
            <w:vMerge w:val="continue"/>
            <w:shd w:val="clear" w:color="auto" w:fill="auto"/>
          </w:tcPr>
          <w:p>
            <w:pPr>
              <w:rPr>
                <w:rFonts w:ascii="仿宋_GB2312" w:eastAsia="仿宋_GB2312"/>
                <w:szCs w:val="21"/>
              </w:rPr>
            </w:pPr>
          </w:p>
        </w:tc>
        <w:tc>
          <w:tcPr>
            <w:tcW w:w="1697" w:type="dxa"/>
            <w:shd w:val="clear" w:color="auto" w:fill="auto"/>
            <w:vAlign w:val="center"/>
          </w:tcPr>
          <w:p>
            <w:pPr>
              <w:rPr>
                <w:rFonts w:ascii="仿宋_GB2312" w:eastAsia="仿宋_GB2312"/>
                <w:szCs w:val="21"/>
              </w:rPr>
            </w:pPr>
            <w:r>
              <w:rPr>
                <w:rFonts w:hint="eastAsia" w:ascii="仿宋_GB2312" w:eastAsia="仿宋_GB2312"/>
                <w:szCs w:val="21"/>
              </w:rPr>
              <w:t>投标有效期</w:t>
            </w:r>
          </w:p>
        </w:tc>
        <w:tc>
          <w:tcPr>
            <w:tcW w:w="4688" w:type="dxa"/>
            <w:shd w:val="clear" w:color="auto" w:fill="auto"/>
            <w:vAlign w:val="center"/>
          </w:tcPr>
          <w:p>
            <w:pPr>
              <w:rPr>
                <w:rFonts w:ascii="仿宋_GB2312" w:eastAsia="仿宋_GB2312"/>
                <w:szCs w:val="21"/>
              </w:rPr>
            </w:pPr>
            <w:r>
              <w:rPr>
                <w:rFonts w:hint="eastAsia" w:ascii="仿宋_GB2312" w:eastAsia="仿宋_GB2312"/>
                <w:szCs w:val="21"/>
              </w:rPr>
              <w:t>符合招标文件要求</w:t>
            </w:r>
          </w:p>
        </w:tc>
        <w:tc>
          <w:tcPr>
            <w:tcW w:w="1211"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651" w:type="dxa"/>
            <w:vMerge w:val="continue"/>
            <w:shd w:val="clear" w:color="auto" w:fill="auto"/>
          </w:tcPr>
          <w:p>
            <w:pPr>
              <w:rPr>
                <w:rFonts w:ascii="仿宋_GB2312" w:eastAsia="仿宋_GB2312"/>
                <w:szCs w:val="21"/>
              </w:rPr>
            </w:pPr>
          </w:p>
        </w:tc>
        <w:tc>
          <w:tcPr>
            <w:tcW w:w="1697" w:type="dxa"/>
            <w:shd w:val="clear" w:color="auto" w:fill="auto"/>
            <w:vAlign w:val="center"/>
          </w:tcPr>
          <w:p>
            <w:pPr>
              <w:rPr>
                <w:rFonts w:ascii="仿宋_GB2312" w:eastAsia="仿宋_GB2312"/>
                <w:szCs w:val="21"/>
              </w:rPr>
            </w:pPr>
          </w:p>
        </w:tc>
        <w:tc>
          <w:tcPr>
            <w:tcW w:w="4688" w:type="dxa"/>
            <w:shd w:val="clear" w:color="auto" w:fill="auto"/>
            <w:vAlign w:val="center"/>
          </w:tcPr>
          <w:p>
            <w:pPr>
              <w:rPr>
                <w:rFonts w:ascii="仿宋_GB2312" w:eastAsia="仿宋_GB2312"/>
                <w:szCs w:val="21"/>
              </w:rPr>
            </w:pPr>
          </w:p>
        </w:tc>
        <w:tc>
          <w:tcPr>
            <w:tcW w:w="1211" w:type="dxa"/>
            <w:shd w:val="clear" w:color="auto" w:fill="auto"/>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036" w:type="dxa"/>
            <w:gridSpan w:val="3"/>
            <w:shd w:val="clear" w:color="auto" w:fill="auto"/>
            <w:vAlign w:val="center"/>
          </w:tcPr>
          <w:p>
            <w:pPr>
              <w:jc w:val="center"/>
              <w:rPr>
                <w:rFonts w:ascii="仿宋_GB2312" w:eastAsia="仿宋_GB2312"/>
                <w:szCs w:val="21"/>
              </w:rPr>
            </w:pPr>
            <w:r>
              <w:rPr>
                <w:rFonts w:hint="eastAsia" w:ascii="仿宋_GB2312" w:eastAsia="仿宋_GB2312"/>
                <w:szCs w:val="21"/>
              </w:rPr>
              <w:t>符合性评审汇总</w:t>
            </w:r>
          </w:p>
        </w:tc>
        <w:tc>
          <w:tcPr>
            <w:tcW w:w="1211" w:type="dxa"/>
            <w:shd w:val="clear" w:color="auto" w:fill="auto"/>
            <w:vAlign w:val="center"/>
          </w:tcPr>
          <w:p>
            <w:pPr>
              <w:rPr>
                <w:rFonts w:ascii="仿宋_GB2312" w:eastAsia="仿宋_GB2312"/>
                <w:szCs w:val="21"/>
              </w:rPr>
            </w:pPr>
          </w:p>
        </w:tc>
      </w:tr>
    </w:tbl>
    <w:p>
      <w:pPr>
        <w:pStyle w:val="89"/>
        <w:widowControl w:val="0"/>
        <w:spacing w:before="0" w:beforeAutospacing="0" w:after="0" w:afterAutospacing="0"/>
        <w:ind w:firstLine="480" w:firstLineChars="200"/>
        <w:jc w:val="center"/>
        <w:rPr>
          <w:rFonts w:ascii="仿宋_GB2312" w:eastAsia="仿宋_GB2312"/>
        </w:rPr>
      </w:pPr>
    </w:p>
    <w:p>
      <w:pPr>
        <w:pStyle w:val="89"/>
        <w:widowControl w:val="0"/>
        <w:spacing w:before="0" w:beforeAutospacing="0" w:after="0" w:afterAutospacing="0"/>
        <w:ind w:firstLine="480" w:firstLineChars="200"/>
        <w:jc w:val="center"/>
        <w:rPr>
          <w:rFonts w:ascii="仿宋_GB2312" w:eastAsia="仿宋_GB2312"/>
        </w:rPr>
      </w:pPr>
    </w:p>
    <w:p>
      <w:pPr>
        <w:pStyle w:val="89"/>
        <w:widowControl w:val="0"/>
        <w:spacing w:before="0" w:beforeAutospacing="0" w:after="0" w:afterAutospacing="0"/>
        <w:ind w:firstLine="480" w:firstLineChars="200"/>
        <w:jc w:val="center"/>
        <w:rPr>
          <w:rFonts w:ascii="仿宋_GB2312" w:eastAsia="仿宋_GB2312"/>
        </w:rPr>
      </w:pPr>
    </w:p>
    <w:p>
      <w:pPr>
        <w:pStyle w:val="89"/>
        <w:widowControl w:val="0"/>
        <w:spacing w:before="0" w:beforeAutospacing="0" w:after="0" w:afterAutospacing="0"/>
        <w:ind w:firstLine="480" w:firstLineChars="200"/>
        <w:jc w:val="center"/>
        <w:rPr>
          <w:rFonts w:ascii="仿宋_GB2312" w:eastAsia="仿宋_GB2312"/>
        </w:rPr>
      </w:pPr>
    </w:p>
    <w:p>
      <w:pPr>
        <w:pStyle w:val="89"/>
        <w:widowControl w:val="0"/>
        <w:spacing w:before="0" w:beforeAutospacing="0" w:after="0" w:afterAutospacing="0"/>
        <w:ind w:firstLine="480" w:firstLineChars="200"/>
        <w:jc w:val="center"/>
        <w:rPr>
          <w:rFonts w:ascii="仿宋_GB2312" w:eastAsia="仿宋_GB2312"/>
        </w:rPr>
      </w:pPr>
    </w:p>
    <w:p>
      <w:pPr>
        <w:pStyle w:val="89"/>
        <w:widowControl w:val="0"/>
        <w:spacing w:before="0" w:beforeAutospacing="0" w:after="0" w:afterAutospacing="0"/>
        <w:ind w:firstLine="480" w:firstLineChars="200"/>
        <w:jc w:val="center"/>
        <w:rPr>
          <w:rFonts w:ascii="仿宋_GB2312" w:eastAsia="仿宋_GB2312"/>
        </w:rPr>
      </w:pPr>
    </w:p>
    <w:p>
      <w:pPr>
        <w:pStyle w:val="89"/>
        <w:widowControl w:val="0"/>
        <w:spacing w:before="0" w:beforeAutospacing="0" w:after="0" w:afterAutospacing="0"/>
        <w:ind w:firstLine="480" w:firstLineChars="200"/>
        <w:jc w:val="center"/>
        <w:rPr>
          <w:rFonts w:ascii="仿宋_GB2312" w:eastAsia="仿宋_GB2312"/>
        </w:rPr>
      </w:pPr>
    </w:p>
    <w:p>
      <w:pPr>
        <w:pStyle w:val="89"/>
        <w:widowControl w:val="0"/>
        <w:spacing w:before="0" w:beforeAutospacing="0" w:after="0" w:afterAutospacing="0"/>
        <w:jc w:val="center"/>
        <w:rPr>
          <w:rFonts w:ascii="仿宋_GB2312" w:eastAsia="仿宋_GB2312"/>
          <w:b/>
          <w:sz w:val="36"/>
        </w:rPr>
      </w:pPr>
      <w:r>
        <w:rPr>
          <w:rFonts w:hint="eastAsia" w:ascii="仿宋_GB2312" w:eastAsia="仿宋_GB2312"/>
        </w:rPr>
        <w:br w:type="page"/>
      </w:r>
      <w:r>
        <w:rPr>
          <w:rFonts w:hint="eastAsia" w:ascii="仿宋_GB2312" w:eastAsia="仿宋_GB2312"/>
          <w:b/>
          <w:sz w:val="36"/>
        </w:rPr>
        <w:t>技术标详细评审表</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7560"/>
        <w:gridCol w:w="941"/>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68" w:type="dxa"/>
            <w:vMerge w:val="restart"/>
            <w:vAlign w:val="center"/>
          </w:tcPr>
          <w:p>
            <w:pPr>
              <w:tabs>
                <w:tab w:val="left" w:pos="972"/>
              </w:tabs>
              <w:spacing w:line="300" w:lineRule="exact"/>
              <w:jc w:val="center"/>
              <w:rPr>
                <w:rFonts w:ascii="仿宋_GB2312" w:hAnsi="宋体" w:eastAsia="仿宋_GB2312"/>
                <w:bCs/>
              </w:rPr>
            </w:pPr>
            <w:r>
              <w:rPr>
                <w:rFonts w:hint="eastAsia" w:ascii="仿宋_GB2312" w:hAnsi="宋体" w:eastAsia="仿宋_GB2312"/>
                <w:bCs/>
              </w:rPr>
              <w:t>序号</w:t>
            </w:r>
          </w:p>
        </w:tc>
        <w:tc>
          <w:tcPr>
            <w:tcW w:w="7560" w:type="dxa"/>
            <w:vMerge w:val="restart"/>
            <w:vAlign w:val="center"/>
          </w:tcPr>
          <w:p>
            <w:pPr>
              <w:tabs>
                <w:tab w:val="left" w:pos="972"/>
              </w:tabs>
              <w:spacing w:line="300" w:lineRule="exact"/>
              <w:jc w:val="center"/>
              <w:rPr>
                <w:rFonts w:ascii="仿宋_GB2312" w:hAnsi="宋体" w:eastAsia="仿宋_GB2312"/>
                <w:bCs/>
              </w:rPr>
            </w:pPr>
            <w:r>
              <w:rPr>
                <w:rFonts w:hint="eastAsia" w:ascii="仿宋_GB2312" w:hAnsi="宋体" w:eastAsia="仿宋_GB2312"/>
                <w:bCs/>
              </w:rPr>
              <w:t>评审内容及要求</w:t>
            </w:r>
          </w:p>
        </w:tc>
        <w:tc>
          <w:tcPr>
            <w:tcW w:w="1787" w:type="dxa"/>
            <w:gridSpan w:val="2"/>
            <w:vAlign w:val="center"/>
          </w:tcPr>
          <w:p>
            <w:pPr>
              <w:tabs>
                <w:tab w:val="left" w:pos="972"/>
              </w:tabs>
              <w:spacing w:line="300" w:lineRule="exact"/>
              <w:jc w:val="center"/>
              <w:rPr>
                <w:rFonts w:ascii="仿宋_GB2312" w:hAnsi="宋体" w:eastAsia="仿宋_GB2312"/>
                <w:bCs/>
              </w:rPr>
            </w:pPr>
            <w:r>
              <w:rPr>
                <w:rFonts w:hint="eastAsia" w:ascii="仿宋_GB2312" w:hAnsi="宋体" w:eastAsia="仿宋_GB2312"/>
                <w:bCs/>
              </w:rPr>
              <w:t>是否合格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Merge w:val="continue"/>
            <w:vAlign w:val="center"/>
          </w:tcPr>
          <w:p>
            <w:pPr>
              <w:tabs>
                <w:tab w:val="left" w:pos="972"/>
              </w:tabs>
              <w:spacing w:line="300" w:lineRule="exact"/>
              <w:jc w:val="center"/>
              <w:rPr>
                <w:rFonts w:ascii="仿宋_GB2312" w:hAnsi="宋体" w:eastAsia="仿宋_GB2312"/>
                <w:bCs/>
              </w:rPr>
            </w:pPr>
          </w:p>
        </w:tc>
        <w:tc>
          <w:tcPr>
            <w:tcW w:w="7560" w:type="dxa"/>
            <w:vMerge w:val="continue"/>
            <w:vAlign w:val="center"/>
          </w:tcPr>
          <w:p>
            <w:pPr>
              <w:tabs>
                <w:tab w:val="left" w:pos="972"/>
              </w:tabs>
              <w:spacing w:line="300" w:lineRule="exact"/>
              <w:jc w:val="center"/>
              <w:rPr>
                <w:rFonts w:ascii="仿宋_GB2312" w:hAnsi="宋体" w:eastAsia="仿宋_GB2312"/>
                <w:bCs/>
              </w:rPr>
            </w:pPr>
          </w:p>
        </w:tc>
        <w:tc>
          <w:tcPr>
            <w:tcW w:w="941" w:type="dxa"/>
            <w:vAlign w:val="center"/>
          </w:tcPr>
          <w:p>
            <w:pPr>
              <w:tabs>
                <w:tab w:val="left" w:pos="972"/>
              </w:tabs>
              <w:spacing w:line="300" w:lineRule="exact"/>
              <w:jc w:val="center"/>
              <w:rPr>
                <w:rFonts w:ascii="仿宋_GB2312" w:hAnsi="宋体" w:eastAsia="仿宋_GB2312"/>
                <w:bCs/>
              </w:rPr>
            </w:pPr>
            <w:r>
              <w:rPr>
                <w:rFonts w:hint="eastAsia" w:ascii="仿宋_GB2312" w:hAnsi="宋体" w:eastAsia="仿宋_GB2312"/>
                <w:bCs/>
              </w:rPr>
              <w:t>通过</w:t>
            </w:r>
          </w:p>
          <w:p>
            <w:pPr>
              <w:tabs>
                <w:tab w:val="left" w:pos="972"/>
              </w:tabs>
              <w:spacing w:line="300" w:lineRule="exact"/>
              <w:jc w:val="center"/>
              <w:rPr>
                <w:rFonts w:ascii="仿宋_GB2312" w:hAnsi="宋体" w:eastAsia="仿宋_GB2312"/>
                <w:bCs/>
              </w:rPr>
            </w:pPr>
            <w:r>
              <w:rPr>
                <w:rFonts w:hint="eastAsia" w:ascii="仿宋_GB2312" w:hAnsi="宋体" w:eastAsia="仿宋_GB2312"/>
                <w:bCs/>
              </w:rPr>
              <w:t>（√）</w:t>
            </w:r>
          </w:p>
        </w:tc>
        <w:tc>
          <w:tcPr>
            <w:tcW w:w="846" w:type="dxa"/>
            <w:vAlign w:val="center"/>
          </w:tcPr>
          <w:p>
            <w:pPr>
              <w:tabs>
                <w:tab w:val="left" w:pos="972"/>
              </w:tabs>
              <w:spacing w:line="300" w:lineRule="exact"/>
              <w:jc w:val="center"/>
              <w:rPr>
                <w:rFonts w:ascii="仿宋_GB2312" w:hAnsi="宋体" w:eastAsia="仿宋_GB2312"/>
                <w:bCs/>
              </w:rPr>
            </w:pPr>
            <w:r>
              <w:rPr>
                <w:rFonts w:hint="eastAsia" w:ascii="仿宋_GB2312" w:hAnsi="宋体" w:eastAsia="仿宋_GB2312"/>
                <w:bCs/>
              </w:rPr>
              <w:t>不通过</w:t>
            </w:r>
          </w:p>
          <w:p>
            <w:pPr>
              <w:tabs>
                <w:tab w:val="left" w:pos="972"/>
              </w:tabs>
              <w:spacing w:line="300" w:lineRule="exact"/>
              <w:jc w:val="center"/>
              <w:rPr>
                <w:rFonts w:ascii="仿宋_GB2312" w:hAnsi="宋体" w:eastAsia="仿宋_GB2312"/>
                <w:bCs/>
              </w:rPr>
            </w:pPr>
            <w:r>
              <w:rPr>
                <w:rFonts w:hint="eastAsia" w:ascii="仿宋_GB2312" w:hAnsi="宋体" w:eastAsia="仿宋_GB2312"/>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1</w:t>
            </w:r>
          </w:p>
        </w:tc>
        <w:tc>
          <w:tcPr>
            <w:tcW w:w="7560" w:type="dxa"/>
            <w:vAlign w:val="center"/>
          </w:tcPr>
          <w:p>
            <w:pPr>
              <w:spacing w:line="300" w:lineRule="exact"/>
              <w:rPr>
                <w:rFonts w:ascii="仿宋_GB2312" w:eastAsia="仿宋_GB2312"/>
                <w:bCs/>
              </w:rPr>
            </w:pPr>
            <w:r>
              <w:rPr>
                <w:rFonts w:hint="eastAsia" w:ascii="仿宋_GB2312" w:hAnsi="宋体" w:eastAsia="仿宋_GB2312"/>
                <w:bCs/>
              </w:rPr>
              <w:t>项目经理：拟任项目经理必须与资格审查合格通过的项目经理在名称、专业、资质等级、类似工程业绩等方面一致</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2</w:t>
            </w:r>
          </w:p>
        </w:tc>
        <w:tc>
          <w:tcPr>
            <w:tcW w:w="7560" w:type="dxa"/>
            <w:vAlign w:val="center"/>
          </w:tcPr>
          <w:p>
            <w:pPr>
              <w:spacing w:line="300" w:lineRule="exact"/>
              <w:rPr>
                <w:rFonts w:ascii="仿宋_GB2312" w:eastAsia="仿宋_GB2312"/>
                <w:bCs/>
              </w:rPr>
            </w:pPr>
            <w:r>
              <w:rPr>
                <w:rFonts w:hint="eastAsia" w:ascii="仿宋_GB2312" w:hAnsi="宋体" w:eastAsia="仿宋_GB2312"/>
                <w:bCs/>
              </w:rPr>
              <w:t>人员齐备、专业配套，具备相关岗位证书：拟派该工程管理的人员专业配套、证件齐全；</w:t>
            </w:r>
            <w:r>
              <w:rPr>
                <w:rFonts w:ascii="仿宋_GB2312" w:eastAsia="仿宋_GB2312"/>
                <w:bCs/>
              </w:rPr>
              <w:t xml:space="preserve"> </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468" w:type="dxa"/>
            <w:vAlign w:val="center"/>
          </w:tcPr>
          <w:p>
            <w:pPr>
              <w:spacing w:line="300" w:lineRule="exact"/>
              <w:rPr>
                <w:rFonts w:ascii="仿宋_GB2312" w:eastAsia="仿宋_GB2312"/>
                <w:bCs/>
              </w:rPr>
            </w:pPr>
            <w:r>
              <w:rPr>
                <w:rFonts w:hint="eastAsia" w:ascii="仿宋_GB2312" w:eastAsia="仿宋_GB2312"/>
                <w:bCs/>
              </w:rPr>
              <w:t>3</w:t>
            </w:r>
          </w:p>
        </w:tc>
        <w:tc>
          <w:tcPr>
            <w:tcW w:w="7560" w:type="dxa"/>
            <w:vAlign w:val="center"/>
          </w:tcPr>
          <w:p>
            <w:pPr>
              <w:spacing w:line="300" w:lineRule="exact"/>
              <w:rPr>
                <w:rFonts w:ascii="仿宋_GB2312" w:eastAsia="仿宋_GB2312"/>
                <w:bCs/>
              </w:rPr>
            </w:pPr>
            <w:r>
              <w:rPr>
                <w:rFonts w:hint="eastAsia" w:ascii="仿宋_GB2312" w:hAnsi="宋体" w:eastAsia="仿宋_GB2312"/>
                <w:bCs/>
              </w:rPr>
              <w:t>工程概况的描述是否准确</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4</w:t>
            </w:r>
          </w:p>
        </w:tc>
        <w:tc>
          <w:tcPr>
            <w:tcW w:w="7560" w:type="dxa"/>
            <w:vAlign w:val="center"/>
          </w:tcPr>
          <w:p>
            <w:pPr>
              <w:spacing w:line="300" w:lineRule="exact"/>
              <w:rPr>
                <w:rFonts w:ascii="仿宋_GB2312" w:eastAsia="仿宋_GB2312"/>
                <w:bCs/>
              </w:rPr>
            </w:pPr>
            <w:r>
              <w:rPr>
                <w:rFonts w:hint="eastAsia" w:ascii="仿宋_GB2312" w:hAnsi="宋体" w:eastAsia="仿宋_GB2312"/>
                <w:bCs/>
              </w:rPr>
              <w:t>主要施工方法：各主要分部施工方法符合项目实际，须有详尽的施工技术方案，工艺先进、方法科学合理、可行，能指导具体施工并确保安全。</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5</w:t>
            </w:r>
          </w:p>
        </w:tc>
        <w:tc>
          <w:tcPr>
            <w:tcW w:w="7560" w:type="dxa"/>
            <w:vAlign w:val="center"/>
          </w:tcPr>
          <w:p>
            <w:pPr>
              <w:spacing w:line="300" w:lineRule="exact"/>
              <w:rPr>
                <w:rFonts w:ascii="仿宋_GB2312" w:eastAsia="仿宋_GB2312"/>
                <w:bCs/>
              </w:rPr>
            </w:pPr>
            <w:r>
              <w:rPr>
                <w:rFonts w:hint="eastAsia" w:ascii="仿宋_GB2312" w:hAnsi="宋体" w:eastAsia="仿宋_GB2312"/>
                <w:bCs/>
              </w:rPr>
              <w:t>拟投入的主要物资计划：投入的施工材料有详细计划且计划周密，数量、选型配置、进场数量、时间安排合理，满足施工需要</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6</w:t>
            </w:r>
          </w:p>
        </w:tc>
        <w:tc>
          <w:tcPr>
            <w:tcW w:w="7560" w:type="dxa"/>
            <w:vAlign w:val="center"/>
          </w:tcPr>
          <w:p>
            <w:pPr>
              <w:spacing w:line="300" w:lineRule="exact"/>
              <w:rPr>
                <w:rFonts w:ascii="仿宋_GB2312" w:eastAsia="仿宋_GB2312"/>
                <w:bCs/>
              </w:rPr>
            </w:pPr>
            <w:r>
              <w:rPr>
                <w:rFonts w:hint="eastAsia" w:ascii="仿宋_GB2312" w:hAnsi="宋体" w:eastAsia="仿宋_GB2312"/>
                <w:bCs/>
              </w:rPr>
              <w:t>拟投入的主要施工机械、设备计划：投入的施工机械、设备、机具有详细计划且计划周密，设备数量、选型配置、进场数量、时间安排合理，满足施工需要。</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7</w:t>
            </w:r>
          </w:p>
        </w:tc>
        <w:tc>
          <w:tcPr>
            <w:tcW w:w="7560" w:type="dxa"/>
            <w:vAlign w:val="center"/>
          </w:tcPr>
          <w:p>
            <w:pPr>
              <w:spacing w:line="300" w:lineRule="exact"/>
              <w:rPr>
                <w:rFonts w:ascii="仿宋_GB2312" w:eastAsia="仿宋_GB2312"/>
                <w:bCs/>
              </w:rPr>
            </w:pPr>
            <w:r>
              <w:rPr>
                <w:rFonts w:hint="eastAsia" w:ascii="仿宋_GB2312" w:hAnsi="宋体" w:eastAsia="仿宋_GB2312"/>
                <w:bCs/>
              </w:rPr>
              <w:t>劳动力安排计划：各主要施工工序应有详细周密的劳动力安排计划明细，有各工种劳动力安排计划，劳动力投入经济合理，满足施工需要</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8</w:t>
            </w:r>
          </w:p>
        </w:tc>
        <w:tc>
          <w:tcPr>
            <w:tcW w:w="7560" w:type="dxa"/>
            <w:vAlign w:val="center"/>
          </w:tcPr>
          <w:p>
            <w:pPr>
              <w:spacing w:line="300" w:lineRule="exact"/>
              <w:rPr>
                <w:rFonts w:ascii="仿宋_GB2312" w:eastAsia="仿宋_GB2312"/>
                <w:bCs/>
              </w:rPr>
            </w:pPr>
            <w:r>
              <w:rPr>
                <w:rFonts w:hint="eastAsia" w:ascii="仿宋_GB2312" w:hAnsi="宋体" w:eastAsia="仿宋_GB2312"/>
                <w:bCs/>
              </w:rPr>
              <w:t>确保工程质量的技术组织措施：施工项目应有专门的质量技术管理班子和制度，且人员配备合理，制度健全。主要工序应有质量技术保证措施和手段，自控体系完整，能有效保证技术质量，达到承诺的质量标准。</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9</w:t>
            </w:r>
          </w:p>
        </w:tc>
        <w:tc>
          <w:tcPr>
            <w:tcW w:w="7560" w:type="dxa"/>
            <w:vAlign w:val="center"/>
          </w:tcPr>
          <w:p>
            <w:pPr>
              <w:spacing w:line="300" w:lineRule="exact"/>
              <w:rPr>
                <w:rFonts w:ascii="仿宋_GB2312" w:eastAsia="仿宋_GB2312"/>
                <w:bCs/>
              </w:rPr>
            </w:pPr>
            <w:r>
              <w:rPr>
                <w:rFonts w:hint="eastAsia" w:ascii="仿宋_GB2312" w:hAnsi="宋体" w:eastAsia="仿宋_GB2312"/>
                <w:bCs/>
              </w:rPr>
              <w:t>确保安全生产的技术组织措施：施工项目应有专门的安全管理人员和制度，且人员配备合理，制度健全，各道工序安全技术措施针对性强，符合实际且满足有关安全技术标准要求。现场防火、社会治安安全措施得力。</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10</w:t>
            </w:r>
          </w:p>
        </w:tc>
        <w:tc>
          <w:tcPr>
            <w:tcW w:w="7560" w:type="dxa"/>
            <w:vAlign w:val="center"/>
          </w:tcPr>
          <w:p>
            <w:pPr>
              <w:spacing w:line="300" w:lineRule="exact"/>
              <w:rPr>
                <w:rFonts w:ascii="仿宋_GB2312" w:eastAsia="仿宋_GB2312"/>
                <w:bCs/>
              </w:rPr>
            </w:pPr>
            <w:r>
              <w:rPr>
                <w:rFonts w:hint="eastAsia" w:ascii="仿宋_GB2312" w:hAnsi="宋体" w:eastAsia="仿宋_GB2312"/>
                <w:bCs/>
              </w:rPr>
              <w:t>确保工期的技术组织措施：在施工工艺、施工方法、材料选用、劳动力安排、技术等方面有保证工期的具体措施且措施得当。有控制工期的施工进度计划。应有施工总进度表或施工网络图，各项计划图表编制完善，安排科学合理，符合本项目施工实际要求。</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11</w:t>
            </w:r>
          </w:p>
        </w:tc>
        <w:tc>
          <w:tcPr>
            <w:tcW w:w="7560" w:type="dxa"/>
            <w:vAlign w:val="center"/>
          </w:tcPr>
          <w:p>
            <w:pPr>
              <w:spacing w:line="300" w:lineRule="exact"/>
              <w:rPr>
                <w:rFonts w:ascii="仿宋_GB2312" w:eastAsia="仿宋_GB2312"/>
                <w:bCs/>
              </w:rPr>
            </w:pPr>
            <w:r>
              <w:rPr>
                <w:rFonts w:hint="eastAsia" w:ascii="仿宋_GB2312" w:hAnsi="宋体" w:eastAsia="仿宋_GB2312"/>
                <w:bCs/>
              </w:rPr>
              <w:t>确保文明施工的技术组织措施：针对本工程项目特点，应有现场文明施工计划，环境保护措施，且计划措施内容应达到</w:t>
            </w:r>
            <w:r>
              <w:rPr>
                <w:rFonts w:hint="eastAsia" w:ascii="仿宋_GB2312" w:eastAsia="仿宋_GB2312"/>
                <w:bCs/>
              </w:rPr>
              <w:t>“</w:t>
            </w:r>
            <w:r>
              <w:rPr>
                <w:rFonts w:hint="eastAsia" w:ascii="仿宋_GB2312" w:hAnsi="宋体" w:eastAsia="仿宋_GB2312"/>
                <w:bCs/>
              </w:rPr>
              <w:t>安全文明示范工地</w:t>
            </w:r>
            <w:r>
              <w:rPr>
                <w:rFonts w:hint="eastAsia" w:ascii="仿宋_GB2312" w:eastAsia="仿宋_GB2312"/>
                <w:bCs/>
              </w:rPr>
              <w:t>”</w:t>
            </w:r>
            <w:r>
              <w:rPr>
                <w:rFonts w:hint="eastAsia" w:ascii="仿宋_GB2312" w:hAnsi="宋体" w:eastAsia="仿宋_GB2312"/>
                <w:bCs/>
              </w:rPr>
              <w:t>标准。各项措施周全、具体、有效。有具体实现现场文明施工目标的承诺。</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12</w:t>
            </w:r>
          </w:p>
        </w:tc>
        <w:tc>
          <w:tcPr>
            <w:tcW w:w="7560" w:type="dxa"/>
            <w:vAlign w:val="center"/>
          </w:tcPr>
          <w:p>
            <w:pPr>
              <w:pStyle w:val="37"/>
              <w:spacing w:line="300" w:lineRule="exact"/>
              <w:rPr>
                <w:rFonts w:ascii="仿宋_GB2312" w:hAnsi="Times New Roman" w:eastAsia="仿宋_GB2312"/>
                <w:b w:val="0"/>
              </w:rPr>
            </w:pPr>
            <w:r>
              <w:rPr>
                <w:rFonts w:hint="eastAsia" w:ascii="仿宋_GB2312" w:eastAsia="仿宋_GB2312"/>
                <w:b w:val="0"/>
              </w:rPr>
              <w:t>工程施工的重点和难点及保证措施是否正确</w:t>
            </w:r>
            <w:r>
              <w:rPr>
                <w:rFonts w:hint="eastAsia" w:ascii="仿宋_GB2312" w:eastAsia="仿宋_GB2312"/>
                <w:b w:val="0"/>
                <w:szCs w:val="21"/>
              </w:rPr>
              <w:t>。</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13</w:t>
            </w:r>
          </w:p>
        </w:tc>
        <w:tc>
          <w:tcPr>
            <w:tcW w:w="7560" w:type="dxa"/>
            <w:vAlign w:val="center"/>
          </w:tcPr>
          <w:p>
            <w:pPr>
              <w:spacing w:line="300" w:lineRule="exact"/>
              <w:rPr>
                <w:rFonts w:ascii="仿宋_GB2312" w:eastAsia="仿宋_GB2312"/>
                <w:bCs/>
              </w:rPr>
            </w:pPr>
            <w:r>
              <w:rPr>
                <w:rFonts w:hint="eastAsia" w:ascii="仿宋_GB2312" w:hAnsi="宋体" w:eastAsia="仿宋_GB2312"/>
                <w:bCs/>
              </w:rPr>
              <w:t>施工总平面布置图：应有施工总平面布置图，安排科学合理，符合本项目施工实际要求。</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14</w:t>
            </w:r>
          </w:p>
        </w:tc>
        <w:tc>
          <w:tcPr>
            <w:tcW w:w="7560" w:type="dxa"/>
            <w:vAlign w:val="center"/>
          </w:tcPr>
          <w:p>
            <w:pPr>
              <w:pStyle w:val="36"/>
              <w:spacing w:line="300" w:lineRule="exact"/>
              <w:rPr>
                <w:rFonts w:ascii="仿宋_GB2312" w:eastAsia="仿宋_GB2312"/>
                <w:bCs/>
              </w:rPr>
            </w:pPr>
            <w:r>
              <w:rPr>
                <w:rFonts w:hint="eastAsia" w:ascii="仿宋_GB2312" w:hAnsi="宋体" w:eastAsia="仿宋_GB2312"/>
                <w:bCs/>
              </w:rPr>
              <w:t>施工组织设计的针对性、完整性。</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rPr>
                <w:rFonts w:ascii="仿宋_GB2312" w:eastAsia="仿宋_GB2312"/>
                <w:bCs/>
              </w:rPr>
            </w:pPr>
            <w:r>
              <w:rPr>
                <w:rFonts w:hint="eastAsia" w:ascii="仿宋_GB2312" w:eastAsia="仿宋_GB2312"/>
                <w:bCs/>
              </w:rPr>
              <w:t>15</w:t>
            </w:r>
          </w:p>
        </w:tc>
        <w:tc>
          <w:tcPr>
            <w:tcW w:w="7560" w:type="dxa"/>
            <w:vAlign w:val="center"/>
          </w:tcPr>
          <w:p>
            <w:pPr>
              <w:pStyle w:val="36"/>
              <w:spacing w:line="300" w:lineRule="exact"/>
              <w:rPr>
                <w:rFonts w:ascii="仿宋_GB2312" w:hAnsi="宋体" w:eastAsia="仿宋_GB2312"/>
                <w:bCs/>
              </w:rPr>
            </w:pPr>
            <w:r>
              <w:rPr>
                <w:rFonts w:hint="eastAsia" w:ascii="仿宋_GB2312" w:hAnsi="宋体" w:eastAsia="仿宋_GB2312"/>
                <w:bCs/>
              </w:rPr>
              <w:t>其他内容（如有）</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pPr>
              <w:spacing w:line="300" w:lineRule="exact"/>
              <w:jc w:val="center"/>
              <w:rPr>
                <w:rFonts w:ascii="仿宋_GB2312" w:eastAsia="仿宋_GB2312"/>
                <w:bCs/>
              </w:rPr>
            </w:pPr>
          </w:p>
        </w:tc>
        <w:tc>
          <w:tcPr>
            <w:tcW w:w="7560" w:type="dxa"/>
            <w:vAlign w:val="center"/>
          </w:tcPr>
          <w:p>
            <w:pPr>
              <w:spacing w:line="300" w:lineRule="exact"/>
              <w:rPr>
                <w:rFonts w:ascii="仿宋_GB2312" w:eastAsia="仿宋_GB2312"/>
                <w:bCs/>
              </w:rPr>
            </w:pPr>
            <w:r>
              <w:rPr>
                <w:rFonts w:hint="eastAsia" w:ascii="仿宋_GB2312" w:hAnsi="宋体" w:eastAsia="仿宋_GB2312"/>
                <w:bCs/>
              </w:rPr>
              <w:t>技术标是否合格。</w:t>
            </w:r>
          </w:p>
        </w:tc>
        <w:tc>
          <w:tcPr>
            <w:tcW w:w="941" w:type="dxa"/>
            <w:vAlign w:val="center"/>
          </w:tcPr>
          <w:p>
            <w:pPr>
              <w:tabs>
                <w:tab w:val="left" w:pos="972"/>
              </w:tabs>
              <w:spacing w:line="300" w:lineRule="exact"/>
              <w:jc w:val="center"/>
              <w:rPr>
                <w:rFonts w:ascii="仿宋_GB2312" w:hAnsi="宋体" w:eastAsia="仿宋_GB2312"/>
                <w:bCs/>
              </w:rPr>
            </w:pPr>
          </w:p>
        </w:tc>
        <w:tc>
          <w:tcPr>
            <w:tcW w:w="846" w:type="dxa"/>
            <w:vAlign w:val="center"/>
          </w:tcPr>
          <w:p>
            <w:pPr>
              <w:tabs>
                <w:tab w:val="left" w:pos="972"/>
              </w:tabs>
              <w:spacing w:line="300" w:lineRule="exact"/>
              <w:jc w:val="center"/>
              <w:rPr>
                <w:rFonts w:ascii="仿宋_GB2312" w:hAnsi="宋体" w:eastAsia="仿宋_GB2312"/>
                <w:bCs/>
              </w:rPr>
            </w:pPr>
          </w:p>
        </w:tc>
      </w:tr>
    </w:tbl>
    <w:p>
      <w:pPr>
        <w:spacing w:line="300" w:lineRule="exact"/>
        <w:rPr>
          <w:rFonts w:ascii="仿宋_GB2312" w:hAnsi="宋体" w:eastAsia="仿宋_GB2312"/>
          <w:bCs/>
        </w:rPr>
      </w:pPr>
      <w:r>
        <w:rPr>
          <w:rFonts w:hint="eastAsia" w:ascii="仿宋_GB2312" w:hAnsi="宋体" w:eastAsia="仿宋_GB2312"/>
          <w:bCs/>
        </w:rPr>
        <w:t>说明：</w:t>
      </w:r>
    </w:p>
    <w:p>
      <w:pPr>
        <w:spacing w:line="300" w:lineRule="exact"/>
        <w:rPr>
          <w:rFonts w:ascii="仿宋_GB2312" w:eastAsia="仿宋_GB2312"/>
          <w:bCs/>
        </w:rPr>
      </w:pPr>
      <w:r>
        <w:rPr>
          <w:rFonts w:hint="eastAsia" w:ascii="仿宋_GB2312" w:eastAsia="仿宋_GB2312"/>
          <w:bCs/>
        </w:rPr>
        <w:t>1.</w:t>
      </w:r>
      <w:r>
        <w:rPr>
          <w:rFonts w:hint="eastAsia" w:ascii="仿宋_GB2312" w:hAnsi="宋体" w:eastAsia="仿宋_GB2312"/>
          <w:bCs/>
        </w:rPr>
        <w:t>技术标评审采用定性方法。</w:t>
      </w:r>
    </w:p>
    <w:p>
      <w:pPr>
        <w:spacing w:line="300" w:lineRule="exact"/>
        <w:rPr>
          <w:rFonts w:ascii="仿宋_GB2312" w:eastAsia="仿宋_GB2312"/>
          <w:bCs/>
        </w:rPr>
      </w:pPr>
      <w:r>
        <w:rPr>
          <w:rFonts w:hint="eastAsia" w:ascii="仿宋_GB2312" w:eastAsia="仿宋_GB2312"/>
          <w:bCs/>
        </w:rPr>
        <w:t>2.</w:t>
      </w:r>
      <w:r>
        <w:rPr>
          <w:rFonts w:hint="eastAsia" w:ascii="仿宋_GB2312" w:hAnsi="宋体" w:eastAsia="仿宋_GB2312"/>
          <w:bCs/>
        </w:rPr>
        <w:t>评标专家根据评审要求判断每项评审内容是否合格，并在投标人评审空格内用</w:t>
      </w:r>
      <w:r>
        <w:rPr>
          <w:rFonts w:hint="eastAsia" w:ascii="仿宋_GB2312" w:eastAsia="仿宋_GB2312"/>
          <w:bCs/>
        </w:rPr>
        <w:t>“√”</w:t>
      </w:r>
      <w:r>
        <w:rPr>
          <w:rFonts w:hint="eastAsia" w:ascii="仿宋_GB2312" w:hAnsi="宋体" w:eastAsia="仿宋_GB2312"/>
          <w:bCs/>
        </w:rPr>
        <w:t>、</w:t>
      </w:r>
      <w:r>
        <w:rPr>
          <w:rFonts w:hint="eastAsia" w:ascii="仿宋_GB2312" w:eastAsia="仿宋_GB2312"/>
          <w:bCs/>
        </w:rPr>
        <w:t>“×”</w:t>
      </w:r>
      <w:r>
        <w:rPr>
          <w:rFonts w:hint="eastAsia" w:ascii="仿宋_GB2312" w:hAnsi="宋体" w:eastAsia="仿宋_GB2312"/>
          <w:bCs/>
        </w:rPr>
        <w:t>表示。</w:t>
      </w:r>
    </w:p>
    <w:p>
      <w:pPr>
        <w:spacing w:line="300" w:lineRule="exact"/>
        <w:rPr>
          <w:rFonts w:ascii="仿宋_GB2312" w:eastAsia="仿宋_GB2312"/>
        </w:rPr>
      </w:pPr>
      <w:r>
        <w:rPr>
          <w:rFonts w:hint="eastAsia" w:ascii="仿宋_GB2312" w:eastAsia="仿宋_GB2312"/>
        </w:rPr>
        <w:t>3</w:t>
      </w:r>
      <w:r>
        <w:rPr>
          <w:rFonts w:hint="eastAsia" w:ascii="仿宋_GB2312" w:eastAsia="仿宋_GB2312"/>
          <w:bCs/>
        </w:rPr>
        <w:t>.</w:t>
      </w:r>
      <w:r>
        <w:rPr>
          <w:rFonts w:hint="eastAsia" w:ascii="仿宋_GB2312" w:hAnsi="宋体" w:eastAsia="仿宋_GB2312"/>
        </w:rPr>
        <w:t>合格标准：上述各项标准中必须全部通过。</w:t>
      </w:r>
    </w:p>
    <w:p>
      <w:pPr>
        <w:rPr>
          <w:rFonts w:hAnsi="宋体"/>
          <w:sz w:val="24"/>
        </w:rPr>
      </w:pPr>
      <w:r>
        <w:rPr>
          <w:rFonts w:hint="eastAsia" w:ascii="仿宋_GB2312" w:hAnsi="宋体" w:eastAsia="仿宋_GB2312"/>
          <w:bCs/>
          <w:szCs w:val="21"/>
        </w:rPr>
        <w:t>4．评委会对上述内容进行符合性评审时，如发现投标文件内容与招标文件规定内容存在偏差，应要求投标人现场澄清、说明或补正。投标人必须在评标委员会规定时间内将澄清、说明或补正内容采用招标文件规定的形式提交评委会，但不得超过20分钟。评委会将对澄清、说明或补正内容评审后决定是否符合要求。</w:t>
      </w:r>
    </w:p>
    <w:p>
      <w:pPr>
        <w:rPr>
          <w:rFonts w:hAnsi="宋体"/>
          <w:sz w:val="24"/>
        </w:rPr>
      </w:pPr>
    </w:p>
    <w:p>
      <w:pPr>
        <w:rPr>
          <w:rFonts w:hAnsi="宋体"/>
          <w:sz w:val="24"/>
        </w:rPr>
      </w:pPr>
    </w:p>
    <w:p>
      <w:pPr>
        <w:rPr>
          <w:rFonts w:hAnsi="宋体"/>
          <w:sz w:val="24"/>
        </w:rPr>
      </w:pPr>
    </w:p>
    <w:p>
      <w:pPr>
        <w:rPr>
          <w:rFonts w:hAnsi="宋体"/>
          <w:sz w:val="24"/>
        </w:rPr>
      </w:pPr>
    </w:p>
    <w:p>
      <w:pPr>
        <w:rPr>
          <w:rFonts w:hAnsi="宋体"/>
          <w:sz w:val="24"/>
        </w:rPr>
      </w:pPr>
      <w:r>
        <w:rPr>
          <w:rFonts w:hint="eastAsia" w:hAnsi="宋体"/>
          <w:b/>
          <w:sz w:val="30"/>
          <w:szCs w:val="30"/>
        </w:rPr>
        <w:t>评标办法：</w:t>
      </w:r>
      <w:r>
        <w:rPr>
          <w:rFonts w:hint="eastAsia" w:ascii="黑体" w:hAnsi="宋体" w:eastAsia="黑体"/>
          <w:color w:val="FF0000"/>
          <w:sz w:val="24"/>
        </w:rPr>
        <w:t>本项目采用</w:t>
      </w:r>
      <w:r>
        <w:rPr>
          <w:rFonts w:hint="eastAsia" w:ascii="黑体" w:hAnsi="宋体" w:eastAsia="黑体"/>
          <w:color w:val="FF0000"/>
          <w:sz w:val="24"/>
          <w:u w:val="double"/>
        </w:rPr>
        <w:t>“综合评分法”</w:t>
      </w:r>
      <w:r>
        <w:rPr>
          <w:rFonts w:hint="eastAsia" w:ascii="黑体" w:hAnsi="宋体" w:eastAsia="黑体"/>
          <w:color w:val="FF0000"/>
          <w:sz w:val="24"/>
        </w:rPr>
        <w:t>。(本办法仅适用于技术特别复杂的特大桥梁和特长隧道项目主体工程。)</w:t>
      </w:r>
    </w:p>
    <w:p>
      <w:pPr>
        <w:ind w:firstLine="480" w:firstLineChars="200"/>
        <w:rPr>
          <w:rFonts w:ascii="仿宋_GB2312" w:hAnsi="宋体" w:eastAsia="仿宋_GB2312"/>
          <w:sz w:val="24"/>
          <w:u w:val="single"/>
        </w:rPr>
      </w:pPr>
      <w:r>
        <w:rPr>
          <w:rFonts w:hint="eastAsia" w:ascii="仿宋_GB2312" w:hAnsi="宋体" w:eastAsia="仿宋_GB2312"/>
          <w:color w:val="0000FF"/>
          <w:sz w:val="24"/>
        </w:rPr>
        <w:t>本次评标采用“综合评分法”，即评标委员会遵循规定的评标原则，首先对投标人资格和技术进行评审。评委会在对投标人资格评审时，应结合投标文件技术标一并进行。对资格评审通过的投标人进行技术标评审和打分。</w:t>
      </w:r>
    </w:p>
    <w:p>
      <w:pPr>
        <w:ind w:firstLine="480" w:firstLineChars="200"/>
        <w:rPr>
          <w:rFonts w:ascii="仿宋_GB2312" w:hAnsi="宋体" w:eastAsia="仿宋_GB2312"/>
          <w:sz w:val="24"/>
        </w:rPr>
      </w:pPr>
      <w:r>
        <w:rPr>
          <w:rFonts w:hint="eastAsia" w:ascii="仿宋_GB2312" w:hAnsi="宋体" w:eastAsia="仿宋_GB2312"/>
          <w:sz w:val="24"/>
        </w:rPr>
        <w:t>技术标合格者才能进入商务标评审, 仅对进入商务标评审的投标人商务标公开唱标，将进入商务标评审的投标人商务标提交评标委员会评审。进入商务标评审的企业，评标委员会应对其商务报价合理性按照招标文件要求进行详细评审。</w:t>
      </w:r>
    </w:p>
    <w:p>
      <w:pPr>
        <w:ind w:firstLine="480" w:firstLineChars="200"/>
        <w:rPr>
          <w:rFonts w:ascii="宋体" w:hAnsi="宋体"/>
          <w:color w:val="FF0000"/>
          <w:sz w:val="24"/>
        </w:rPr>
      </w:pPr>
      <w:r>
        <w:rPr>
          <w:rFonts w:hint="eastAsia" w:ascii="宋体" w:hAnsi="宋体"/>
          <w:color w:val="FF0000"/>
          <w:sz w:val="24"/>
        </w:rPr>
        <w:t>采用综合评估法评审的项目，中标公示发布后，因异议、投诉、举报、评审错误等原因需要重新评审的，本项目所有投标文件全部重新进行评审，重新推荐中标候选人；但是涉及商务报价评审已抽取的系数不变，不再重新抽取。招标文件其他内容与本条不一致的，以本条内容为准。</w:t>
      </w:r>
    </w:p>
    <w:p>
      <w:pPr>
        <w:ind w:firstLine="482" w:firstLineChars="200"/>
        <w:rPr>
          <w:rFonts w:ascii="黑体" w:hAnsi="宋体" w:eastAsia="黑体"/>
          <w:sz w:val="24"/>
        </w:rPr>
      </w:pPr>
      <w:r>
        <w:rPr>
          <w:rFonts w:hint="eastAsia"/>
          <w:b/>
          <w:sz w:val="24"/>
        </w:rPr>
        <w:t>对通过技术标初审、技术标详细评审及商务标评审的投标人评分：</w:t>
      </w:r>
    </w:p>
    <w:p>
      <w:pPr>
        <w:spacing w:line="360" w:lineRule="atLeast"/>
        <w:ind w:firstLine="480" w:firstLineChars="200"/>
        <w:rPr>
          <w:szCs w:val="21"/>
        </w:rPr>
      </w:pPr>
      <w:r>
        <w:rPr>
          <w:rFonts w:hint="eastAsia"/>
          <w:sz w:val="24"/>
        </w:rPr>
        <w:t>技术资信</w:t>
      </w:r>
      <w:r>
        <w:rPr>
          <w:rFonts w:hint="eastAsia"/>
          <w:sz w:val="24"/>
          <w:u w:val="single"/>
        </w:rPr>
        <w:t xml:space="preserve">  </w:t>
      </w:r>
      <w:r>
        <w:rPr>
          <w:rFonts w:hint="eastAsia"/>
          <w:sz w:val="24"/>
        </w:rPr>
        <w:t>分，报价得分</w:t>
      </w:r>
      <w:r>
        <w:rPr>
          <w:rFonts w:hint="eastAsia"/>
          <w:sz w:val="24"/>
          <w:u w:val="single"/>
        </w:rPr>
        <w:t xml:space="preserve">  </w:t>
      </w:r>
      <w:r>
        <w:rPr>
          <w:rFonts w:hint="eastAsia"/>
          <w:sz w:val="24"/>
        </w:rPr>
        <w:t>分，详细分值构成（</w:t>
      </w:r>
      <w:r>
        <w:rPr>
          <w:szCs w:val="21"/>
        </w:rPr>
        <w:t>总分100分</w:t>
      </w:r>
      <w:r>
        <w:rPr>
          <w:rFonts w:hint="eastAsia"/>
          <w:sz w:val="24"/>
        </w:rPr>
        <w:t>）：</w:t>
      </w:r>
      <w:r>
        <w:rPr>
          <w:szCs w:val="21"/>
        </w:rPr>
        <w:t>施工组织设计：</w:t>
      </w:r>
      <w:r>
        <w:rPr>
          <w:rFonts w:hint="eastAsia"/>
          <w:szCs w:val="21"/>
          <w:u w:val="single"/>
        </w:rPr>
        <w:t xml:space="preserve">  </w:t>
      </w:r>
      <w:r>
        <w:rPr>
          <w:szCs w:val="21"/>
        </w:rPr>
        <w:t>分</w:t>
      </w:r>
      <w:r>
        <w:rPr>
          <w:rFonts w:hint="eastAsia"/>
          <w:szCs w:val="21"/>
        </w:rPr>
        <w:t>，</w:t>
      </w:r>
      <w:r>
        <w:rPr>
          <w:szCs w:val="21"/>
        </w:rPr>
        <w:t>主要人员：</w:t>
      </w:r>
      <w:r>
        <w:rPr>
          <w:rFonts w:hint="eastAsia"/>
          <w:szCs w:val="21"/>
          <w:u w:val="single"/>
        </w:rPr>
        <w:t xml:space="preserve">  </w:t>
      </w:r>
      <w:r>
        <w:rPr>
          <w:szCs w:val="21"/>
        </w:rPr>
        <w:t>分</w:t>
      </w:r>
      <w:r>
        <w:rPr>
          <w:rFonts w:hint="eastAsia"/>
          <w:szCs w:val="21"/>
        </w:rPr>
        <w:t>，技术</w:t>
      </w:r>
      <w:r>
        <w:rPr>
          <w:szCs w:val="21"/>
        </w:rPr>
        <w:t>能力：</w:t>
      </w:r>
      <w:r>
        <w:rPr>
          <w:rFonts w:hint="eastAsia"/>
          <w:szCs w:val="21"/>
          <w:u w:val="single"/>
        </w:rPr>
        <w:t xml:space="preserve">   </w:t>
      </w:r>
      <w:r>
        <w:rPr>
          <w:szCs w:val="21"/>
        </w:rPr>
        <w:t>分</w:t>
      </w:r>
      <w:r>
        <w:rPr>
          <w:rFonts w:hint="eastAsia"/>
          <w:szCs w:val="21"/>
        </w:rPr>
        <w:t>，</w:t>
      </w:r>
      <w:r>
        <w:rPr>
          <w:szCs w:val="21"/>
        </w:rPr>
        <w:t>财务能力：</w:t>
      </w:r>
      <w:r>
        <w:rPr>
          <w:rFonts w:hint="eastAsia"/>
          <w:szCs w:val="21"/>
          <w:u w:val="single"/>
        </w:rPr>
        <w:t xml:space="preserve">  </w:t>
      </w:r>
      <w:r>
        <w:rPr>
          <w:szCs w:val="21"/>
        </w:rPr>
        <w:t>分</w:t>
      </w:r>
      <w:r>
        <w:rPr>
          <w:rFonts w:hint="eastAsia"/>
          <w:szCs w:val="21"/>
        </w:rPr>
        <w:t>，</w:t>
      </w:r>
      <w:r>
        <w:rPr>
          <w:szCs w:val="21"/>
        </w:rPr>
        <w:t>业绩：</w:t>
      </w:r>
      <w:r>
        <w:rPr>
          <w:rFonts w:hint="eastAsia"/>
          <w:szCs w:val="21"/>
          <w:u w:val="single"/>
        </w:rPr>
        <w:t xml:space="preserve">  </w:t>
      </w:r>
      <w:r>
        <w:rPr>
          <w:szCs w:val="21"/>
        </w:rPr>
        <w:t>分</w:t>
      </w:r>
      <w:r>
        <w:rPr>
          <w:rFonts w:hint="eastAsia"/>
          <w:szCs w:val="21"/>
        </w:rPr>
        <w:t>，</w:t>
      </w:r>
      <w:r>
        <w:rPr>
          <w:szCs w:val="21"/>
        </w:rPr>
        <w:t>履约信誉：</w:t>
      </w:r>
      <w:r>
        <w:rPr>
          <w:rFonts w:hint="eastAsia"/>
          <w:szCs w:val="21"/>
          <w:u w:val="single"/>
        </w:rPr>
        <w:t xml:space="preserve">  </w:t>
      </w:r>
      <w:r>
        <w:rPr>
          <w:szCs w:val="21"/>
        </w:rPr>
        <w:t>分</w:t>
      </w:r>
      <w:r>
        <w:rPr>
          <w:rFonts w:hint="eastAsia"/>
          <w:szCs w:val="21"/>
        </w:rPr>
        <w:t>等；报价分值构成：</w:t>
      </w:r>
      <w:r>
        <w:rPr>
          <w:szCs w:val="21"/>
        </w:rPr>
        <w:t>评标价：</w:t>
      </w:r>
      <w:r>
        <w:rPr>
          <w:rFonts w:hint="eastAsia"/>
          <w:szCs w:val="21"/>
          <w:u w:val="single"/>
        </w:rPr>
        <w:t xml:space="preserve">  </w:t>
      </w:r>
      <w:r>
        <w:rPr>
          <w:szCs w:val="21"/>
        </w:rPr>
        <w:t>分</w:t>
      </w:r>
      <w:r>
        <w:rPr>
          <w:rFonts w:hint="eastAsia"/>
          <w:szCs w:val="21"/>
        </w:rPr>
        <w:t>。</w:t>
      </w:r>
    </w:p>
    <w:p>
      <w:pPr>
        <w:spacing w:line="360" w:lineRule="atLeast"/>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技术资信评分、报价评分因素设置说明：</w:t>
      </w:r>
    </w:p>
    <w:p>
      <w:pPr>
        <w:spacing w:line="36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①技术资信各评分因素权重分值范围如下：施工组织设计5~20分；主要人员10~20分；技术能力0~5分；财务能力5~10分；业绩5~12分；履约信誉3~5分。评标价权重分值不应低于50分。投标人技术资信评分分值计算保留小数点后两位，小数点后第三位“四舍五入”。</w:t>
      </w:r>
    </w:p>
    <w:p>
      <w:pPr>
        <w:spacing w:line="36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②技术资信评分表中的“技术能力”指投标人的科研开发和技术创新能力，招标人可结合招标项目的具体情况提出相关要求，包括投标人获得的与项目施工有关的国家级工法、专利（发明专利或实用新型专利）、国家或省级科学技术进步奖，主编或参编过的国家、行业或地方标准等。</w:t>
      </w:r>
    </w:p>
    <w:p>
      <w:pPr>
        <w:spacing w:line="36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③招标人应根据项目具体情况确定各评分因素及评分因素权重分值，并对各评分因素进行细分（如有）、确定各评分因素细分项的分值，各评分因素权重分值合计应为100分。各评分因素（评标价和履约信誉评分项除外）得分一般不得低于其权重分值的60%，且各评分因素得分应以评标委员会各成员的打分平均值确定，评标委员会成员总数为7人以上时，该平均值以去掉一个最高分和一个最低分后计算。评标委员会成员对某一项评分因素的评分低于权重分值60%的，应在评标报告中作出说明。</w:t>
      </w:r>
    </w:p>
    <w:p>
      <w:pPr>
        <w:spacing w:line="36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④招标人应列明各评分因素或各评分因素细分项（如有）的评分标准并作为评标委员会进行评分的依据。</w:t>
      </w:r>
    </w:p>
    <w:p>
      <w:pPr>
        <w:spacing w:line="36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⑤针对履约信誉进行评分时，招标人可结合招标项目所在地省级交通运输主管部门对投标人的信用评级对其履约信用进行评分，但不得任意设置歧视性条款并不得任意设立行政许可。</w:t>
      </w:r>
    </w:p>
    <w:p>
      <w:pPr>
        <w:ind w:firstLine="480" w:firstLineChars="200"/>
        <w:rPr>
          <w:rFonts w:asciiTheme="minorEastAsia" w:hAnsiTheme="minorEastAsia" w:eastAsiaTheme="minorEastAsia"/>
          <w:sz w:val="24"/>
        </w:rPr>
      </w:pPr>
      <w:r>
        <w:rPr>
          <w:rFonts w:hint="eastAsia" w:asciiTheme="minorEastAsia" w:hAnsiTheme="minorEastAsia" w:eastAsiaTheme="minorEastAsia"/>
          <w:sz w:val="24"/>
        </w:rPr>
        <w:t>⑥评分因素具体以招标文件编制内容为准。</w:t>
      </w:r>
    </w:p>
    <w:p>
      <w:pPr>
        <w:ind w:firstLine="480" w:firstLineChars="200"/>
        <w:rPr>
          <w:rFonts w:asciiTheme="minorEastAsia" w:hAnsiTheme="minorEastAsia" w:eastAsiaTheme="minorEastAsia"/>
          <w:sz w:val="24"/>
        </w:rPr>
      </w:pPr>
      <w:r>
        <w:rPr>
          <w:rFonts w:hint="eastAsia" w:asciiTheme="minorEastAsia" w:hAnsiTheme="minorEastAsia" w:eastAsiaTheme="minorEastAsia"/>
          <w:sz w:val="24"/>
        </w:rPr>
        <w:t>⑦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p>
      <w:pPr>
        <w:spacing w:line="360" w:lineRule="atLeast"/>
        <w:ind w:firstLine="420" w:firstLineChars="200"/>
        <w:rPr>
          <w:color w:val="FF0000"/>
          <w:szCs w:val="21"/>
        </w:rPr>
      </w:pPr>
    </w:p>
    <w:p>
      <w:pPr>
        <w:jc w:val="center"/>
        <w:rPr>
          <w:rFonts w:ascii="仿宋_GB2312" w:eastAsia="仿宋_GB2312"/>
          <w:b/>
          <w:sz w:val="36"/>
        </w:rPr>
      </w:pPr>
    </w:p>
    <w:p>
      <w:pPr>
        <w:jc w:val="center"/>
        <w:rPr>
          <w:rFonts w:ascii="仿宋_GB2312" w:eastAsia="仿宋_GB2312"/>
          <w:b/>
          <w:sz w:val="36"/>
        </w:rPr>
      </w:pPr>
    </w:p>
    <w:p>
      <w:pPr>
        <w:jc w:val="center"/>
      </w:pPr>
      <w:r>
        <w:rPr>
          <w:rFonts w:hint="eastAsia" w:ascii="仿宋_GB2312" w:eastAsia="仿宋_GB2312"/>
          <w:b/>
          <w:sz w:val="36"/>
        </w:rPr>
        <w:t>技术资信</w:t>
      </w:r>
      <w:r>
        <w:rPr>
          <w:rFonts w:hint="eastAsia" w:ascii="仿宋_GB2312" w:hAnsi="宋体" w:eastAsia="仿宋_GB2312"/>
          <w:b/>
          <w:kern w:val="0"/>
          <w:sz w:val="36"/>
        </w:rPr>
        <w:t>评分表</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5"/>
        <w:gridCol w:w="503"/>
        <w:gridCol w:w="1017"/>
        <w:gridCol w:w="1100"/>
        <w:gridCol w:w="3508"/>
        <w:gridCol w:w="85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337" w:type="pct"/>
            <w:gridSpan w:val="6"/>
            <w:tcBorders>
              <w:top w:val="single" w:color="auto" w:sz="4" w:space="0"/>
            </w:tcBorders>
          </w:tcPr>
          <w:p>
            <w:pPr>
              <w:spacing w:line="380" w:lineRule="atLeast"/>
              <w:jc w:val="center"/>
              <w:rPr>
                <w:b/>
                <w:szCs w:val="21"/>
              </w:rPr>
            </w:pPr>
            <w:r>
              <w:rPr>
                <w:b/>
                <w:szCs w:val="21"/>
              </w:rPr>
              <w:t>评分因素与权重分值</w:t>
            </w:r>
          </w:p>
        </w:tc>
        <w:tc>
          <w:tcPr>
            <w:tcW w:w="663" w:type="pct"/>
            <w:vMerge w:val="restart"/>
            <w:tcBorders>
              <w:top w:val="single" w:color="auto" w:sz="4" w:space="0"/>
            </w:tcBorders>
            <w:vAlign w:val="center"/>
          </w:tcPr>
          <w:p>
            <w:pPr>
              <w:spacing w:line="380" w:lineRule="atLeast"/>
              <w:jc w:val="center"/>
              <w:rPr>
                <w:b/>
                <w:szCs w:val="21"/>
              </w:rPr>
            </w:pPr>
            <w:r>
              <w:rPr>
                <w:b/>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94" w:type="pct"/>
            <w:vAlign w:val="center"/>
          </w:tcPr>
          <w:p>
            <w:pPr>
              <w:spacing w:line="380" w:lineRule="atLeast"/>
              <w:jc w:val="center"/>
              <w:rPr>
                <w:rFonts w:ascii="宋体" w:hAnsi="宋体"/>
                <w:b/>
                <w:szCs w:val="21"/>
              </w:rPr>
            </w:pPr>
            <w:r>
              <w:rPr>
                <w:rFonts w:hint="eastAsia" w:ascii="宋体" w:hAnsi="宋体"/>
                <w:b/>
                <w:szCs w:val="21"/>
              </w:rPr>
              <w:t>序号</w:t>
            </w:r>
          </w:p>
        </w:tc>
        <w:tc>
          <w:tcPr>
            <w:tcW w:w="771" w:type="pct"/>
            <w:gridSpan w:val="2"/>
            <w:vAlign w:val="center"/>
          </w:tcPr>
          <w:p>
            <w:pPr>
              <w:spacing w:line="380" w:lineRule="atLeast"/>
              <w:jc w:val="center"/>
              <w:rPr>
                <w:rFonts w:ascii="宋体" w:hAnsi="宋体"/>
                <w:b/>
                <w:szCs w:val="21"/>
              </w:rPr>
            </w:pPr>
            <w:r>
              <w:rPr>
                <w:rFonts w:ascii="宋体" w:hAnsi="宋体"/>
                <w:b/>
                <w:szCs w:val="21"/>
              </w:rPr>
              <w:t>评分因素</w:t>
            </w:r>
          </w:p>
        </w:tc>
        <w:tc>
          <w:tcPr>
            <w:tcW w:w="558" w:type="pct"/>
            <w:vAlign w:val="center"/>
          </w:tcPr>
          <w:p>
            <w:pPr>
              <w:spacing w:line="380" w:lineRule="atLeast"/>
              <w:ind w:left="-105" w:leftChars="-50" w:right="-105" w:rightChars="-50"/>
              <w:jc w:val="center"/>
              <w:rPr>
                <w:rFonts w:ascii="宋体" w:hAnsi="宋体"/>
                <w:b/>
                <w:szCs w:val="21"/>
              </w:rPr>
            </w:pPr>
            <w:r>
              <w:rPr>
                <w:rFonts w:ascii="宋体" w:hAnsi="宋体"/>
                <w:b/>
                <w:szCs w:val="21"/>
              </w:rPr>
              <w:t>评分因素权重分值</w:t>
            </w:r>
          </w:p>
        </w:tc>
        <w:tc>
          <w:tcPr>
            <w:tcW w:w="1780" w:type="pct"/>
            <w:vAlign w:val="center"/>
          </w:tcPr>
          <w:p>
            <w:pPr>
              <w:spacing w:line="380" w:lineRule="atLeast"/>
              <w:jc w:val="center"/>
              <w:rPr>
                <w:rFonts w:ascii="宋体" w:hAnsi="宋体"/>
                <w:b/>
                <w:szCs w:val="21"/>
              </w:rPr>
            </w:pPr>
            <w:r>
              <w:rPr>
                <w:rFonts w:ascii="宋体" w:hAnsi="宋体"/>
                <w:b/>
                <w:szCs w:val="21"/>
              </w:rPr>
              <w:t>各评分因素细分项</w:t>
            </w:r>
          </w:p>
        </w:tc>
        <w:tc>
          <w:tcPr>
            <w:tcW w:w="434" w:type="pct"/>
            <w:vAlign w:val="center"/>
          </w:tcPr>
          <w:p>
            <w:pPr>
              <w:spacing w:line="380" w:lineRule="atLeast"/>
              <w:jc w:val="right"/>
              <w:rPr>
                <w:rFonts w:ascii="宋体" w:hAnsi="宋体"/>
                <w:b/>
                <w:szCs w:val="21"/>
              </w:rPr>
            </w:pPr>
            <w:r>
              <w:rPr>
                <w:rFonts w:ascii="宋体" w:hAnsi="宋体"/>
                <w:b/>
                <w:szCs w:val="21"/>
              </w:rPr>
              <w:t>分值</w:t>
            </w:r>
          </w:p>
        </w:tc>
        <w:tc>
          <w:tcPr>
            <w:tcW w:w="663" w:type="pct"/>
            <w:vMerge w:val="continue"/>
          </w:tcPr>
          <w:p>
            <w:pPr>
              <w:spacing w:line="380" w:lineRule="atLeas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restart"/>
            <w:vAlign w:val="center"/>
          </w:tcPr>
          <w:p>
            <w:pPr>
              <w:spacing w:line="380" w:lineRule="atLeast"/>
              <w:jc w:val="center"/>
              <w:rPr>
                <w:szCs w:val="21"/>
              </w:rPr>
            </w:pPr>
            <w:r>
              <w:rPr>
                <w:rFonts w:hint="eastAsia"/>
                <w:szCs w:val="21"/>
              </w:rPr>
              <w:t>1</w:t>
            </w:r>
          </w:p>
        </w:tc>
        <w:tc>
          <w:tcPr>
            <w:tcW w:w="771" w:type="pct"/>
            <w:gridSpan w:val="2"/>
            <w:vMerge w:val="restart"/>
            <w:vAlign w:val="center"/>
          </w:tcPr>
          <w:p>
            <w:pPr>
              <w:spacing w:line="380" w:lineRule="atLeast"/>
              <w:jc w:val="center"/>
              <w:rPr>
                <w:szCs w:val="21"/>
              </w:rPr>
            </w:pPr>
            <w:r>
              <w:rPr>
                <w:szCs w:val="21"/>
              </w:rPr>
              <w:t>施工组织设计</w:t>
            </w:r>
          </w:p>
        </w:tc>
        <w:tc>
          <w:tcPr>
            <w:tcW w:w="558" w:type="pct"/>
            <w:vMerge w:val="restart"/>
            <w:vAlign w:val="center"/>
          </w:tcPr>
          <w:p>
            <w:pPr>
              <w:wordWrap w:val="0"/>
              <w:spacing w:line="380" w:lineRule="atLeast"/>
              <w:jc w:val="right"/>
              <w:rPr>
                <w:szCs w:val="21"/>
                <w:u w:val="single"/>
              </w:rPr>
            </w:pPr>
            <w:r>
              <w:rPr>
                <w:rFonts w:hint="eastAsia"/>
                <w:szCs w:val="21"/>
                <w:u w:val="single"/>
              </w:rPr>
              <w:t xml:space="preserve">    </w:t>
            </w:r>
            <w:r>
              <w:rPr>
                <w:szCs w:val="21"/>
              </w:rPr>
              <w:t>分</w:t>
            </w:r>
          </w:p>
        </w:tc>
        <w:tc>
          <w:tcPr>
            <w:tcW w:w="1780" w:type="pct"/>
            <w:vAlign w:val="center"/>
          </w:tcPr>
          <w:p>
            <w:pPr>
              <w:spacing w:line="380" w:lineRule="atLeast"/>
              <w:ind w:firstLine="184" w:firstLineChars="88"/>
              <w:rPr>
                <w:szCs w:val="21"/>
              </w:rPr>
            </w:pPr>
            <w:r>
              <w:rPr>
                <w:szCs w:val="21"/>
              </w:rPr>
              <w:t>总体施工组织布置及规划</w:t>
            </w:r>
          </w:p>
        </w:tc>
        <w:tc>
          <w:tcPr>
            <w:tcW w:w="434" w:type="pct"/>
            <w:vAlign w:val="center"/>
          </w:tcPr>
          <w:p>
            <w:pPr>
              <w:wordWrap w:val="0"/>
              <w:spacing w:line="380" w:lineRule="atLeast"/>
              <w:jc w:val="right"/>
              <w:rPr>
                <w:szCs w:val="21"/>
              </w:rPr>
            </w:pPr>
            <w:r>
              <w:rPr>
                <w:rFonts w:hint="eastAsia"/>
                <w:szCs w:val="21"/>
              </w:rPr>
              <w:t xml:space="preserve">  </w:t>
            </w:r>
            <w:r>
              <w:rPr>
                <w:rFonts w:hint="eastAsia"/>
                <w:szCs w:val="21"/>
                <w:u w:val="single"/>
              </w:rPr>
              <w:t xml:space="preserve">  </w:t>
            </w:r>
            <w:r>
              <w:rPr>
                <w:szCs w:val="21"/>
              </w:rPr>
              <w:t>分</w:t>
            </w:r>
          </w:p>
        </w:tc>
        <w:tc>
          <w:tcPr>
            <w:tcW w:w="663" w:type="pct"/>
            <w:vAlign w:val="center"/>
          </w:tcPr>
          <w:p>
            <w:pPr>
              <w:spacing w:line="380" w:lineRule="atLeast"/>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szCs w:val="21"/>
                <w:u w:val="single"/>
              </w:rPr>
            </w:pPr>
          </w:p>
        </w:tc>
        <w:tc>
          <w:tcPr>
            <w:tcW w:w="1780" w:type="pct"/>
            <w:vAlign w:val="center"/>
          </w:tcPr>
          <w:p>
            <w:pPr>
              <w:spacing w:line="380" w:lineRule="atLeast"/>
              <w:ind w:firstLine="184" w:firstLineChars="88"/>
              <w:rPr>
                <w:szCs w:val="21"/>
              </w:rPr>
            </w:pPr>
            <w:r>
              <w:rPr>
                <w:szCs w:val="21"/>
              </w:rPr>
              <w:t>主要工程项目的施工方案、方法与技术措施</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vAlign w:val="center"/>
          </w:tcPr>
          <w:p>
            <w:pPr>
              <w:spacing w:line="380" w:lineRule="atLeast"/>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szCs w:val="21"/>
                <w:u w:val="single"/>
              </w:rPr>
            </w:pPr>
          </w:p>
        </w:tc>
        <w:tc>
          <w:tcPr>
            <w:tcW w:w="1780" w:type="pct"/>
            <w:vAlign w:val="center"/>
          </w:tcPr>
          <w:p>
            <w:pPr>
              <w:spacing w:line="380" w:lineRule="atLeast"/>
              <w:ind w:firstLine="186" w:firstLineChars="89"/>
              <w:rPr>
                <w:szCs w:val="21"/>
              </w:rPr>
            </w:pPr>
            <w:r>
              <w:rPr>
                <w:szCs w:val="21"/>
              </w:rPr>
              <w:t>工期保证体系及保证措施</w:t>
            </w:r>
          </w:p>
        </w:tc>
        <w:tc>
          <w:tcPr>
            <w:tcW w:w="434" w:type="pct"/>
            <w:vAlign w:val="center"/>
          </w:tcPr>
          <w:p>
            <w:pPr>
              <w:wordWrap w:val="0"/>
              <w:spacing w:line="380" w:lineRule="atLeast"/>
              <w:jc w:val="right"/>
              <w:rPr>
                <w:szCs w:val="21"/>
              </w:rPr>
            </w:pPr>
            <w:r>
              <w:rPr>
                <w:rFonts w:hint="eastAsia"/>
                <w:szCs w:val="21"/>
              </w:rPr>
              <w:t xml:space="preserve"> </w:t>
            </w:r>
            <w:r>
              <w:rPr>
                <w:rFonts w:hint="eastAsia"/>
                <w:szCs w:val="21"/>
                <w:u w:val="single"/>
              </w:rPr>
              <w:t xml:space="preserve">  </w:t>
            </w:r>
            <w:r>
              <w:rPr>
                <w:szCs w:val="21"/>
              </w:rPr>
              <w:t>分</w:t>
            </w:r>
          </w:p>
        </w:tc>
        <w:tc>
          <w:tcPr>
            <w:tcW w:w="663" w:type="pct"/>
            <w:vAlign w:val="center"/>
          </w:tcPr>
          <w:p>
            <w:pPr>
              <w:spacing w:line="380" w:lineRule="atLeast"/>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szCs w:val="21"/>
                <w:u w:val="single"/>
              </w:rPr>
            </w:pPr>
          </w:p>
        </w:tc>
        <w:tc>
          <w:tcPr>
            <w:tcW w:w="1780" w:type="pct"/>
            <w:vAlign w:val="center"/>
          </w:tcPr>
          <w:p>
            <w:pPr>
              <w:spacing w:line="380" w:lineRule="atLeast"/>
              <w:ind w:firstLine="186" w:firstLineChars="89"/>
              <w:rPr>
                <w:szCs w:val="21"/>
              </w:rPr>
            </w:pPr>
            <w:r>
              <w:rPr>
                <w:szCs w:val="21"/>
              </w:rPr>
              <w:t>工程质量管理体系及保证措施</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vAlign w:val="center"/>
          </w:tcPr>
          <w:p>
            <w:pPr>
              <w:spacing w:line="380" w:lineRule="atLeast"/>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szCs w:val="21"/>
                <w:u w:val="single"/>
              </w:rPr>
            </w:pPr>
          </w:p>
        </w:tc>
        <w:tc>
          <w:tcPr>
            <w:tcW w:w="1780" w:type="pct"/>
            <w:vAlign w:val="center"/>
          </w:tcPr>
          <w:p>
            <w:pPr>
              <w:spacing w:line="380" w:lineRule="atLeast"/>
              <w:ind w:firstLine="186" w:firstLineChars="89"/>
              <w:rPr>
                <w:szCs w:val="21"/>
              </w:rPr>
            </w:pPr>
            <w:r>
              <w:rPr>
                <w:szCs w:val="21"/>
              </w:rPr>
              <w:t>安全生产管理体系及保证措施</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vAlign w:val="center"/>
          </w:tcPr>
          <w:p>
            <w:pPr>
              <w:spacing w:line="380" w:lineRule="atLeast"/>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szCs w:val="21"/>
              </w:rPr>
            </w:pPr>
          </w:p>
        </w:tc>
        <w:tc>
          <w:tcPr>
            <w:tcW w:w="1780" w:type="pct"/>
            <w:vAlign w:val="center"/>
          </w:tcPr>
          <w:p>
            <w:pPr>
              <w:spacing w:line="380" w:lineRule="atLeast"/>
              <w:ind w:firstLine="186" w:firstLineChars="89"/>
              <w:rPr>
                <w:szCs w:val="21"/>
              </w:rPr>
            </w:pPr>
            <w:r>
              <w:rPr>
                <w:szCs w:val="21"/>
              </w:rPr>
              <w:t>环境保护、水土保持保证体系及保证措施</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vAlign w:val="center"/>
          </w:tcPr>
          <w:p>
            <w:pPr>
              <w:spacing w:line="380" w:lineRule="atLeast"/>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b/>
                <w:szCs w:val="21"/>
              </w:rPr>
            </w:pPr>
          </w:p>
        </w:tc>
        <w:tc>
          <w:tcPr>
            <w:tcW w:w="1780" w:type="pct"/>
            <w:vAlign w:val="center"/>
          </w:tcPr>
          <w:p>
            <w:pPr>
              <w:spacing w:line="380" w:lineRule="atLeast"/>
              <w:ind w:firstLine="186" w:firstLineChars="89"/>
              <w:rPr>
                <w:b/>
                <w:szCs w:val="21"/>
              </w:rPr>
            </w:pPr>
            <w:r>
              <w:rPr>
                <w:szCs w:val="21"/>
              </w:rPr>
              <w:t>文明施工、文物保护保证体系及保证措施</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vAlign w:val="center"/>
          </w:tcPr>
          <w:p>
            <w:pPr>
              <w:spacing w:line="380" w:lineRule="atLeast"/>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b/>
                <w:szCs w:val="21"/>
              </w:rPr>
            </w:pPr>
          </w:p>
        </w:tc>
        <w:tc>
          <w:tcPr>
            <w:tcW w:w="1780" w:type="pct"/>
            <w:vAlign w:val="center"/>
          </w:tcPr>
          <w:p>
            <w:pPr>
              <w:spacing w:line="380" w:lineRule="atLeast"/>
              <w:ind w:firstLine="186" w:firstLineChars="89"/>
              <w:rPr>
                <w:szCs w:val="21"/>
              </w:rPr>
            </w:pPr>
            <w:r>
              <w:rPr>
                <w:szCs w:val="21"/>
              </w:rPr>
              <w:t>项目风险预测与防范，事故应急预案</w:t>
            </w:r>
          </w:p>
        </w:tc>
        <w:tc>
          <w:tcPr>
            <w:tcW w:w="434" w:type="pct"/>
            <w:vAlign w:val="center"/>
          </w:tcPr>
          <w:p>
            <w:pPr>
              <w:wordWrap w:val="0"/>
              <w:spacing w:line="380" w:lineRule="atLeast"/>
              <w:jc w:val="right"/>
              <w:rPr>
                <w:szCs w:val="21"/>
                <w:u w:val="single"/>
              </w:rPr>
            </w:pPr>
            <w:r>
              <w:rPr>
                <w:rFonts w:hint="eastAsia"/>
                <w:szCs w:val="21"/>
                <w:u w:val="single"/>
              </w:rPr>
              <w:t xml:space="preserve">  </w:t>
            </w:r>
            <w:r>
              <w:rPr>
                <w:szCs w:val="21"/>
              </w:rPr>
              <w:t>分</w:t>
            </w:r>
          </w:p>
        </w:tc>
        <w:tc>
          <w:tcPr>
            <w:tcW w:w="663" w:type="pct"/>
            <w:vAlign w:val="center"/>
          </w:tcPr>
          <w:p>
            <w:pPr>
              <w:spacing w:line="380" w:lineRule="atLeast"/>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rFonts w:eastAsia="隶书"/>
                <w:b/>
                <w:szCs w:val="21"/>
              </w:rPr>
            </w:pPr>
          </w:p>
        </w:tc>
        <w:tc>
          <w:tcPr>
            <w:tcW w:w="1780" w:type="pct"/>
          </w:tcPr>
          <w:p>
            <w:pPr>
              <w:spacing w:line="380" w:lineRule="atLeast"/>
              <w:ind w:firstLine="186" w:firstLineChars="89"/>
              <w:rPr>
                <w:szCs w:val="21"/>
              </w:rPr>
            </w:pPr>
            <w:r>
              <w:rPr>
                <w:szCs w:val="21"/>
              </w:rPr>
              <w:t>……</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vAlign w:val="center"/>
          </w:tcPr>
          <w:p>
            <w:pPr>
              <w:spacing w:line="380" w:lineRule="atLeast"/>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restart"/>
            <w:vAlign w:val="center"/>
          </w:tcPr>
          <w:p>
            <w:pPr>
              <w:spacing w:line="360" w:lineRule="atLeast"/>
              <w:ind w:left="-92" w:leftChars="-44" w:right="-88" w:rightChars="-42"/>
              <w:jc w:val="center"/>
              <w:rPr>
                <w:szCs w:val="21"/>
              </w:rPr>
            </w:pPr>
            <w:r>
              <w:rPr>
                <w:rFonts w:hint="eastAsia"/>
                <w:szCs w:val="21"/>
              </w:rPr>
              <w:t>2</w:t>
            </w:r>
          </w:p>
        </w:tc>
        <w:tc>
          <w:tcPr>
            <w:tcW w:w="771" w:type="pct"/>
            <w:gridSpan w:val="2"/>
            <w:vMerge w:val="restart"/>
            <w:vAlign w:val="center"/>
          </w:tcPr>
          <w:p>
            <w:pPr>
              <w:spacing w:line="360" w:lineRule="atLeast"/>
              <w:jc w:val="center"/>
              <w:rPr>
                <w:szCs w:val="21"/>
              </w:rPr>
            </w:pPr>
            <w:r>
              <w:rPr>
                <w:szCs w:val="21"/>
              </w:rPr>
              <w:t>主要人员</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vAlign w:val="center"/>
          </w:tcPr>
          <w:p>
            <w:pPr>
              <w:spacing w:line="380" w:lineRule="atLeast"/>
              <w:ind w:firstLine="186" w:firstLineChars="89"/>
              <w:rPr>
                <w:rFonts w:ascii="宋体" w:hAnsi="宋体"/>
                <w:szCs w:val="21"/>
              </w:rPr>
            </w:pPr>
            <w:r>
              <w:rPr>
                <w:rFonts w:ascii="宋体" w:hAnsi="宋体"/>
                <w:szCs w:val="21"/>
              </w:rPr>
              <w:t>项目经理任职资格与业绩</w:t>
            </w:r>
          </w:p>
        </w:tc>
        <w:tc>
          <w:tcPr>
            <w:tcW w:w="434" w:type="pct"/>
            <w:vAlign w:val="center"/>
          </w:tcPr>
          <w:p>
            <w:pPr>
              <w:wordWrap w:val="0"/>
              <w:spacing w:line="380" w:lineRule="atLeast"/>
              <w:jc w:val="right"/>
              <w:rPr>
                <w:rFonts w:ascii="宋体" w:hAnsi="宋体"/>
                <w:szCs w:val="21"/>
              </w:rPr>
            </w:pPr>
            <w:r>
              <w:rPr>
                <w:rFonts w:hint="eastAsia" w:ascii="宋体" w:hAnsi="宋体"/>
                <w:szCs w:val="21"/>
                <w:u w:val="single"/>
              </w:rPr>
              <w:t xml:space="preserve">  </w:t>
            </w:r>
            <w:r>
              <w:rPr>
                <w:rFonts w:ascii="宋体" w:hAnsi="宋体"/>
                <w:szCs w:val="21"/>
              </w:rPr>
              <w:t>分</w:t>
            </w:r>
          </w:p>
        </w:tc>
        <w:tc>
          <w:tcPr>
            <w:tcW w:w="663" w:type="pct"/>
          </w:tcPr>
          <w:p>
            <w:pPr>
              <w:spacing w:line="380" w:lineRule="atLeast"/>
              <w:rPr>
                <w:rFonts w:ascii="宋体" w:hAnsi="宋体"/>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rFonts w:eastAsia="隶书"/>
                <w:b/>
                <w:szCs w:val="21"/>
              </w:rPr>
            </w:pPr>
          </w:p>
        </w:tc>
        <w:tc>
          <w:tcPr>
            <w:tcW w:w="1780" w:type="pct"/>
            <w:vAlign w:val="center"/>
          </w:tcPr>
          <w:p>
            <w:pPr>
              <w:spacing w:line="380" w:lineRule="atLeast"/>
              <w:ind w:firstLine="186" w:firstLineChars="89"/>
              <w:rPr>
                <w:rFonts w:ascii="宋体" w:hAnsi="宋体"/>
                <w:szCs w:val="21"/>
              </w:rPr>
            </w:pPr>
            <w:r>
              <w:rPr>
                <w:rFonts w:ascii="宋体" w:hAnsi="宋体"/>
                <w:szCs w:val="21"/>
              </w:rPr>
              <w:t>项目总工任职资格与业绩</w:t>
            </w:r>
          </w:p>
        </w:tc>
        <w:tc>
          <w:tcPr>
            <w:tcW w:w="434" w:type="pct"/>
            <w:vAlign w:val="center"/>
          </w:tcPr>
          <w:p>
            <w:pPr>
              <w:wordWrap w:val="0"/>
              <w:spacing w:line="380" w:lineRule="atLeast"/>
              <w:jc w:val="right"/>
              <w:rPr>
                <w:rFonts w:ascii="宋体" w:hAnsi="宋体"/>
                <w:szCs w:val="21"/>
              </w:rPr>
            </w:pPr>
            <w:r>
              <w:rPr>
                <w:rFonts w:hint="eastAsia" w:ascii="宋体" w:hAnsi="宋体"/>
                <w:szCs w:val="21"/>
                <w:u w:val="single"/>
              </w:rPr>
              <w:t xml:space="preserve">  </w:t>
            </w:r>
            <w:r>
              <w:rPr>
                <w:rFonts w:ascii="宋体" w:hAnsi="宋体"/>
                <w:szCs w:val="21"/>
              </w:rPr>
              <w:t>分</w:t>
            </w:r>
          </w:p>
        </w:tc>
        <w:tc>
          <w:tcPr>
            <w:tcW w:w="663" w:type="pct"/>
          </w:tcPr>
          <w:p>
            <w:pPr>
              <w:spacing w:line="380" w:lineRule="atLeast"/>
              <w:rPr>
                <w:rFonts w:ascii="宋体" w:hAnsi="宋体"/>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rFonts w:eastAsia="隶书"/>
                <w:b/>
                <w:szCs w:val="21"/>
              </w:rPr>
            </w:pPr>
          </w:p>
        </w:tc>
        <w:tc>
          <w:tcPr>
            <w:tcW w:w="1780" w:type="pct"/>
            <w:vAlign w:val="center"/>
          </w:tcPr>
          <w:p>
            <w:pPr>
              <w:spacing w:line="380" w:lineRule="atLeast"/>
              <w:ind w:firstLine="186" w:firstLineChars="89"/>
              <w:rPr>
                <w:rFonts w:ascii="宋体" w:hAnsi="宋体"/>
                <w:szCs w:val="21"/>
              </w:rPr>
            </w:pPr>
            <w:r>
              <w:rPr>
                <w:szCs w:val="21"/>
              </w:rPr>
              <w:t>……</w:t>
            </w:r>
          </w:p>
        </w:tc>
        <w:tc>
          <w:tcPr>
            <w:tcW w:w="434" w:type="pct"/>
            <w:vAlign w:val="center"/>
          </w:tcPr>
          <w:p>
            <w:pPr>
              <w:wordWrap w:val="0"/>
              <w:spacing w:line="380" w:lineRule="atLeast"/>
              <w:jc w:val="right"/>
              <w:rPr>
                <w:rFonts w:ascii="宋体" w:hAnsi="宋体"/>
                <w:szCs w:val="21"/>
                <w:u w:val="single"/>
              </w:rPr>
            </w:pPr>
            <w:r>
              <w:rPr>
                <w:rFonts w:hint="eastAsia" w:ascii="宋体" w:hAnsi="宋体"/>
                <w:szCs w:val="21"/>
                <w:u w:val="single"/>
              </w:rPr>
              <w:t xml:space="preserve">  </w:t>
            </w:r>
            <w:r>
              <w:rPr>
                <w:rFonts w:ascii="宋体" w:hAnsi="宋体"/>
                <w:szCs w:val="21"/>
              </w:rPr>
              <w:t>分</w:t>
            </w:r>
          </w:p>
        </w:tc>
        <w:tc>
          <w:tcPr>
            <w:tcW w:w="663" w:type="pct"/>
          </w:tcPr>
          <w:p>
            <w:pPr>
              <w:spacing w:line="380" w:lineRule="atLeast"/>
              <w:rPr>
                <w:rFonts w:ascii="宋体" w:hAnsi="宋体"/>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restart"/>
            <w:vAlign w:val="center"/>
          </w:tcPr>
          <w:p>
            <w:pPr>
              <w:spacing w:line="380" w:lineRule="atLeast"/>
              <w:jc w:val="center"/>
              <w:rPr>
                <w:szCs w:val="21"/>
              </w:rPr>
            </w:pPr>
            <w:r>
              <w:rPr>
                <w:rFonts w:hint="eastAsia"/>
                <w:szCs w:val="21"/>
              </w:rPr>
              <w:t>3</w:t>
            </w:r>
          </w:p>
        </w:tc>
        <w:tc>
          <w:tcPr>
            <w:tcW w:w="255" w:type="pct"/>
            <w:vMerge w:val="restart"/>
            <w:vAlign w:val="center"/>
          </w:tcPr>
          <w:p>
            <w:pPr>
              <w:spacing w:line="380" w:lineRule="atLeast"/>
              <w:jc w:val="center"/>
              <w:rPr>
                <w:szCs w:val="21"/>
              </w:rPr>
            </w:pPr>
            <w:r>
              <w:rPr>
                <w:szCs w:val="21"/>
              </w:rPr>
              <w:t>其他因素</w:t>
            </w:r>
          </w:p>
        </w:tc>
        <w:tc>
          <w:tcPr>
            <w:tcW w:w="516" w:type="pct"/>
            <w:vMerge w:val="restart"/>
            <w:vAlign w:val="center"/>
          </w:tcPr>
          <w:p>
            <w:pPr>
              <w:spacing w:line="380" w:lineRule="atLeast"/>
              <w:jc w:val="center"/>
              <w:rPr>
                <w:szCs w:val="21"/>
              </w:rPr>
            </w:pPr>
            <w:r>
              <w:rPr>
                <w:rFonts w:hint="eastAsia"/>
                <w:szCs w:val="21"/>
              </w:rPr>
              <w:t>技术</w:t>
            </w:r>
          </w:p>
          <w:p>
            <w:pPr>
              <w:spacing w:line="380" w:lineRule="atLeast"/>
              <w:jc w:val="center"/>
              <w:rPr>
                <w:szCs w:val="21"/>
              </w:rPr>
            </w:pPr>
            <w:r>
              <w:rPr>
                <w:szCs w:val="21"/>
              </w:rPr>
              <w:t>能力</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tcPr>
          <w:p>
            <w:pPr>
              <w:spacing w:line="380" w:lineRule="atLeast"/>
              <w:jc w:val="center"/>
              <w:rPr>
                <w:szCs w:val="21"/>
              </w:rPr>
            </w:pPr>
            <w:r>
              <w:rPr>
                <w:szCs w:val="21"/>
              </w:rPr>
              <w:t>……</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vAlign w:val="center"/>
          </w:tcPr>
          <w:p>
            <w:pPr>
              <w:spacing w:line="380" w:lineRule="atLeast"/>
              <w:jc w:val="center"/>
              <w:rPr>
                <w:rFonts w:eastAsia="隶书"/>
                <w:szCs w:val="21"/>
              </w:rPr>
            </w:pPr>
          </w:p>
        </w:tc>
        <w:tc>
          <w:tcPr>
            <w:tcW w:w="516" w:type="pct"/>
            <w:vMerge w:val="continue"/>
            <w:vAlign w:val="center"/>
          </w:tcPr>
          <w:p>
            <w:pPr>
              <w:spacing w:line="380" w:lineRule="atLeast"/>
              <w:jc w:val="center"/>
              <w:rPr>
                <w:szCs w:val="21"/>
              </w:rPr>
            </w:pPr>
          </w:p>
        </w:tc>
        <w:tc>
          <w:tcPr>
            <w:tcW w:w="558" w:type="pct"/>
            <w:vMerge w:val="continue"/>
            <w:vAlign w:val="center"/>
          </w:tcPr>
          <w:p>
            <w:pPr>
              <w:spacing w:line="380" w:lineRule="atLeast"/>
              <w:jc w:val="right"/>
              <w:rPr>
                <w:szCs w:val="21"/>
              </w:rPr>
            </w:pPr>
          </w:p>
        </w:tc>
        <w:tc>
          <w:tcPr>
            <w:tcW w:w="1780" w:type="pct"/>
          </w:tcPr>
          <w:p>
            <w:pPr>
              <w:spacing w:line="380" w:lineRule="atLeast"/>
              <w:jc w:val="center"/>
              <w:rPr>
                <w:szCs w:val="21"/>
              </w:rPr>
            </w:pPr>
            <w:r>
              <w:rPr>
                <w:szCs w:val="21"/>
              </w:rPr>
              <w:t>……</w:t>
            </w:r>
          </w:p>
        </w:tc>
        <w:tc>
          <w:tcPr>
            <w:tcW w:w="434" w:type="pct"/>
            <w:vAlign w:val="center"/>
          </w:tcPr>
          <w:p>
            <w:pPr>
              <w:spacing w:line="380" w:lineRule="atLeast"/>
              <w:ind w:left="210" w:leftChars="100"/>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vAlign w:val="center"/>
          </w:tcPr>
          <w:p>
            <w:pPr>
              <w:spacing w:line="380" w:lineRule="atLeast"/>
              <w:jc w:val="center"/>
              <w:rPr>
                <w:rFonts w:eastAsia="隶书"/>
                <w:szCs w:val="21"/>
              </w:rPr>
            </w:pPr>
          </w:p>
        </w:tc>
        <w:tc>
          <w:tcPr>
            <w:tcW w:w="516" w:type="pct"/>
            <w:vMerge w:val="restart"/>
            <w:vAlign w:val="center"/>
          </w:tcPr>
          <w:p>
            <w:pPr>
              <w:spacing w:line="380" w:lineRule="atLeast"/>
              <w:jc w:val="center"/>
              <w:rPr>
                <w:szCs w:val="21"/>
              </w:rPr>
            </w:pPr>
            <w:r>
              <w:rPr>
                <w:szCs w:val="21"/>
              </w:rPr>
              <w:t>财务</w:t>
            </w:r>
          </w:p>
          <w:p>
            <w:pPr>
              <w:spacing w:line="380" w:lineRule="atLeast"/>
              <w:jc w:val="center"/>
              <w:rPr>
                <w:szCs w:val="21"/>
              </w:rPr>
            </w:pPr>
            <w:r>
              <w:rPr>
                <w:szCs w:val="21"/>
              </w:rPr>
              <w:t>能力</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tcPr>
          <w:p>
            <w:pPr>
              <w:spacing w:line="380" w:lineRule="atLeast"/>
              <w:jc w:val="center"/>
              <w:rPr>
                <w:szCs w:val="21"/>
              </w:rPr>
            </w:pPr>
            <w:r>
              <w:rPr>
                <w:szCs w:val="21"/>
              </w:rPr>
              <w:t>……</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vAlign w:val="center"/>
          </w:tcPr>
          <w:p>
            <w:pPr>
              <w:spacing w:line="380" w:lineRule="atLeast"/>
              <w:jc w:val="center"/>
              <w:rPr>
                <w:rFonts w:eastAsia="隶书"/>
                <w:szCs w:val="21"/>
              </w:rPr>
            </w:pPr>
          </w:p>
        </w:tc>
        <w:tc>
          <w:tcPr>
            <w:tcW w:w="516" w:type="pct"/>
            <w:vMerge w:val="continue"/>
            <w:vAlign w:val="center"/>
          </w:tcPr>
          <w:p>
            <w:pPr>
              <w:spacing w:line="380" w:lineRule="atLeast"/>
              <w:jc w:val="center"/>
              <w:rPr>
                <w:szCs w:val="21"/>
              </w:rPr>
            </w:pPr>
          </w:p>
        </w:tc>
        <w:tc>
          <w:tcPr>
            <w:tcW w:w="558" w:type="pct"/>
            <w:vMerge w:val="continue"/>
            <w:vAlign w:val="center"/>
          </w:tcPr>
          <w:p>
            <w:pPr>
              <w:spacing w:line="380" w:lineRule="atLeast"/>
              <w:jc w:val="right"/>
              <w:rPr>
                <w:szCs w:val="21"/>
                <w:u w:val="single"/>
              </w:rPr>
            </w:pPr>
          </w:p>
        </w:tc>
        <w:tc>
          <w:tcPr>
            <w:tcW w:w="1780" w:type="pct"/>
          </w:tcPr>
          <w:p>
            <w:pPr>
              <w:spacing w:line="380" w:lineRule="atLeast"/>
              <w:jc w:val="center"/>
              <w:rPr>
                <w:szCs w:val="21"/>
              </w:rPr>
            </w:pPr>
            <w:r>
              <w:rPr>
                <w:szCs w:val="21"/>
              </w:rPr>
              <w:t>……</w:t>
            </w:r>
          </w:p>
        </w:tc>
        <w:tc>
          <w:tcPr>
            <w:tcW w:w="434" w:type="pct"/>
            <w:vAlign w:val="center"/>
          </w:tcPr>
          <w:p>
            <w:pPr>
              <w:spacing w:line="380" w:lineRule="atLeast"/>
              <w:ind w:firstLine="210" w:firstLineChars="100"/>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vAlign w:val="center"/>
          </w:tcPr>
          <w:p>
            <w:pPr>
              <w:spacing w:line="380" w:lineRule="atLeast"/>
              <w:jc w:val="center"/>
              <w:rPr>
                <w:rFonts w:eastAsia="隶书"/>
                <w:szCs w:val="21"/>
              </w:rPr>
            </w:pPr>
          </w:p>
        </w:tc>
        <w:tc>
          <w:tcPr>
            <w:tcW w:w="516" w:type="pct"/>
            <w:vMerge w:val="restart"/>
            <w:vAlign w:val="center"/>
          </w:tcPr>
          <w:p>
            <w:pPr>
              <w:spacing w:line="380" w:lineRule="atLeast"/>
              <w:ind w:left="-105" w:leftChars="-50" w:right="-105" w:rightChars="-50"/>
              <w:jc w:val="center"/>
              <w:rPr>
                <w:szCs w:val="21"/>
              </w:rPr>
            </w:pPr>
            <w:r>
              <w:rPr>
                <w:szCs w:val="21"/>
              </w:rPr>
              <w:t>业绩</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tcPr>
          <w:p>
            <w:pPr>
              <w:spacing w:line="380" w:lineRule="atLeast"/>
              <w:jc w:val="center"/>
              <w:rPr>
                <w:szCs w:val="21"/>
              </w:rPr>
            </w:pPr>
            <w:r>
              <w:rPr>
                <w:szCs w:val="21"/>
              </w:rPr>
              <w:t>……</w:t>
            </w:r>
          </w:p>
        </w:tc>
        <w:tc>
          <w:tcPr>
            <w:tcW w:w="434" w:type="pct"/>
            <w:vAlign w:val="center"/>
          </w:tcPr>
          <w:p>
            <w:pPr>
              <w:spacing w:line="380" w:lineRule="atLeast"/>
              <w:ind w:firstLine="210" w:firstLineChars="100"/>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vAlign w:val="center"/>
          </w:tcPr>
          <w:p>
            <w:pPr>
              <w:spacing w:line="380" w:lineRule="atLeast"/>
              <w:jc w:val="center"/>
              <w:rPr>
                <w:rFonts w:eastAsia="隶书"/>
                <w:szCs w:val="21"/>
              </w:rPr>
            </w:pPr>
          </w:p>
        </w:tc>
        <w:tc>
          <w:tcPr>
            <w:tcW w:w="516" w:type="pct"/>
            <w:vMerge w:val="continue"/>
            <w:vAlign w:val="center"/>
          </w:tcPr>
          <w:p>
            <w:pPr>
              <w:spacing w:line="380" w:lineRule="atLeast"/>
              <w:jc w:val="center"/>
              <w:rPr>
                <w:szCs w:val="21"/>
              </w:rPr>
            </w:pPr>
          </w:p>
        </w:tc>
        <w:tc>
          <w:tcPr>
            <w:tcW w:w="558" w:type="pct"/>
            <w:vMerge w:val="continue"/>
            <w:vAlign w:val="center"/>
          </w:tcPr>
          <w:p>
            <w:pPr>
              <w:spacing w:line="380" w:lineRule="atLeast"/>
              <w:jc w:val="right"/>
              <w:rPr>
                <w:szCs w:val="21"/>
              </w:rPr>
            </w:pPr>
          </w:p>
        </w:tc>
        <w:tc>
          <w:tcPr>
            <w:tcW w:w="1780" w:type="pct"/>
          </w:tcPr>
          <w:p>
            <w:pPr>
              <w:spacing w:line="380" w:lineRule="atLeast"/>
              <w:jc w:val="center"/>
              <w:rPr>
                <w:szCs w:val="21"/>
              </w:rPr>
            </w:pPr>
            <w:r>
              <w:rPr>
                <w:szCs w:val="21"/>
              </w:rPr>
              <w:t>……</w:t>
            </w:r>
          </w:p>
        </w:tc>
        <w:tc>
          <w:tcPr>
            <w:tcW w:w="434" w:type="pct"/>
            <w:vAlign w:val="center"/>
          </w:tcPr>
          <w:p>
            <w:pPr>
              <w:spacing w:line="380" w:lineRule="atLeast"/>
              <w:ind w:firstLine="210" w:firstLineChars="100"/>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vAlign w:val="center"/>
          </w:tcPr>
          <w:p>
            <w:pPr>
              <w:spacing w:line="380" w:lineRule="atLeast"/>
              <w:ind w:left="-105" w:leftChars="-50" w:right="-105" w:rightChars="-50"/>
              <w:jc w:val="center"/>
              <w:rPr>
                <w:rFonts w:eastAsia="隶书"/>
                <w:szCs w:val="21"/>
              </w:rPr>
            </w:pPr>
          </w:p>
        </w:tc>
        <w:tc>
          <w:tcPr>
            <w:tcW w:w="516" w:type="pct"/>
            <w:vMerge w:val="restart"/>
            <w:vAlign w:val="center"/>
          </w:tcPr>
          <w:p>
            <w:pPr>
              <w:spacing w:line="380" w:lineRule="atLeast"/>
              <w:ind w:left="-105" w:leftChars="-50" w:right="-105" w:rightChars="-50"/>
              <w:jc w:val="center"/>
              <w:rPr>
                <w:szCs w:val="21"/>
              </w:rPr>
            </w:pPr>
            <w:r>
              <w:rPr>
                <w:szCs w:val="21"/>
              </w:rPr>
              <w:t>履约</w:t>
            </w:r>
          </w:p>
          <w:p>
            <w:pPr>
              <w:spacing w:line="380" w:lineRule="atLeast"/>
              <w:ind w:left="-105" w:leftChars="-50" w:right="-105" w:rightChars="-50"/>
              <w:jc w:val="center"/>
              <w:rPr>
                <w:szCs w:val="21"/>
              </w:rPr>
            </w:pPr>
            <w:r>
              <w:rPr>
                <w:szCs w:val="21"/>
              </w:rPr>
              <w:t>信誉</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tcPr>
          <w:p>
            <w:pPr>
              <w:spacing w:line="380" w:lineRule="atLeast"/>
              <w:jc w:val="center"/>
              <w:rPr>
                <w:szCs w:val="21"/>
              </w:rPr>
            </w:pPr>
            <w:r>
              <w:rPr>
                <w:szCs w:val="21"/>
              </w:rPr>
              <w:t>……</w:t>
            </w:r>
          </w:p>
        </w:tc>
        <w:tc>
          <w:tcPr>
            <w:tcW w:w="434" w:type="pct"/>
            <w:vAlign w:val="center"/>
          </w:tcPr>
          <w:p>
            <w:pPr>
              <w:spacing w:line="380" w:lineRule="atLeast"/>
              <w:ind w:firstLine="210" w:firstLineChars="100"/>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vAlign w:val="center"/>
          </w:tcPr>
          <w:p>
            <w:pPr>
              <w:spacing w:line="380" w:lineRule="atLeast"/>
              <w:jc w:val="center"/>
              <w:rPr>
                <w:rFonts w:eastAsia="隶书"/>
                <w:szCs w:val="21"/>
              </w:rPr>
            </w:pPr>
          </w:p>
        </w:tc>
        <w:tc>
          <w:tcPr>
            <w:tcW w:w="516" w:type="pct"/>
            <w:vMerge w:val="continue"/>
            <w:vAlign w:val="center"/>
          </w:tcPr>
          <w:p>
            <w:pPr>
              <w:spacing w:line="380" w:lineRule="atLeast"/>
              <w:jc w:val="center"/>
              <w:rPr>
                <w:szCs w:val="21"/>
              </w:rPr>
            </w:pPr>
          </w:p>
        </w:tc>
        <w:tc>
          <w:tcPr>
            <w:tcW w:w="558" w:type="pct"/>
            <w:vMerge w:val="continue"/>
            <w:vAlign w:val="center"/>
          </w:tcPr>
          <w:p>
            <w:pPr>
              <w:spacing w:line="380" w:lineRule="atLeast"/>
              <w:jc w:val="right"/>
              <w:rPr>
                <w:b/>
                <w:szCs w:val="21"/>
              </w:rPr>
            </w:pPr>
          </w:p>
        </w:tc>
        <w:tc>
          <w:tcPr>
            <w:tcW w:w="1780" w:type="pct"/>
          </w:tcPr>
          <w:p>
            <w:pPr>
              <w:spacing w:line="380" w:lineRule="atLeast"/>
              <w:jc w:val="center"/>
              <w:rPr>
                <w:szCs w:val="21"/>
              </w:rPr>
            </w:pPr>
            <w:r>
              <w:rPr>
                <w:szCs w:val="21"/>
              </w:rPr>
              <w:t>……</w:t>
            </w:r>
          </w:p>
        </w:tc>
        <w:tc>
          <w:tcPr>
            <w:tcW w:w="434" w:type="pct"/>
            <w:vAlign w:val="center"/>
          </w:tcPr>
          <w:p>
            <w:pPr>
              <w:spacing w:line="380" w:lineRule="atLeast"/>
              <w:ind w:firstLine="210" w:firstLineChars="100"/>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tcPr>
          <w:p>
            <w:pPr>
              <w:spacing w:line="380" w:lineRule="atLeast"/>
              <w:jc w:val="center"/>
              <w:rPr>
                <w:rFonts w:eastAsia="隶书"/>
                <w:szCs w:val="21"/>
              </w:rPr>
            </w:pPr>
          </w:p>
        </w:tc>
        <w:tc>
          <w:tcPr>
            <w:tcW w:w="516" w:type="pct"/>
            <w:vMerge w:val="restart"/>
          </w:tcPr>
          <w:p>
            <w:pPr>
              <w:spacing w:line="380" w:lineRule="atLeast"/>
              <w:jc w:val="center"/>
              <w:rPr>
                <w:szCs w:val="21"/>
              </w:rPr>
            </w:pPr>
            <w:r>
              <w:rPr>
                <w:szCs w:val="21"/>
              </w:rPr>
              <w:t>……</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tcPr>
          <w:p>
            <w:pPr>
              <w:spacing w:line="380" w:lineRule="atLeast"/>
              <w:jc w:val="center"/>
              <w:rPr>
                <w:szCs w:val="21"/>
              </w:rPr>
            </w:pPr>
            <w:r>
              <w:rPr>
                <w:szCs w:val="21"/>
              </w:rPr>
              <w:t>……</w:t>
            </w:r>
          </w:p>
        </w:tc>
        <w:tc>
          <w:tcPr>
            <w:tcW w:w="434" w:type="pct"/>
            <w:vAlign w:val="center"/>
          </w:tcPr>
          <w:p>
            <w:pPr>
              <w:spacing w:line="380" w:lineRule="atLeast"/>
              <w:ind w:firstLine="210" w:firstLineChars="100"/>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tcPr>
          <w:p>
            <w:pPr>
              <w:spacing w:line="380" w:lineRule="atLeast"/>
              <w:jc w:val="center"/>
              <w:rPr>
                <w:rFonts w:eastAsia="隶书"/>
                <w:szCs w:val="21"/>
              </w:rPr>
            </w:pPr>
          </w:p>
        </w:tc>
        <w:tc>
          <w:tcPr>
            <w:tcW w:w="516" w:type="pct"/>
            <w:vMerge w:val="continue"/>
          </w:tcPr>
          <w:p>
            <w:pPr>
              <w:spacing w:line="380" w:lineRule="atLeast"/>
              <w:jc w:val="center"/>
              <w:rPr>
                <w:szCs w:val="21"/>
              </w:rPr>
            </w:pPr>
          </w:p>
        </w:tc>
        <w:tc>
          <w:tcPr>
            <w:tcW w:w="558" w:type="pct"/>
            <w:vMerge w:val="continue"/>
            <w:vAlign w:val="center"/>
          </w:tcPr>
          <w:p>
            <w:pPr>
              <w:spacing w:line="380" w:lineRule="atLeast"/>
              <w:rPr>
                <w:szCs w:val="21"/>
                <w:u w:val="single"/>
              </w:rPr>
            </w:pPr>
          </w:p>
        </w:tc>
        <w:tc>
          <w:tcPr>
            <w:tcW w:w="1780" w:type="pct"/>
          </w:tcPr>
          <w:p>
            <w:pPr>
              <w:spacing w:line="380" w:lineRule="atLeast"/>
              <w:jc w:val="center"/>
              <w:rPr>
                <w:szCs w:val="21"/>
              </w:rPr>
            </w:pPr>
            <w:r>
              <w:rPr>
                <w:szCs w:val="21"/>
              </w:rPr>
              <w:t>……</w:t>
            </w:r>
          </w:p>
        </w:tc>
        <w:tc>
          <w:tcPr>
            <w:tcW w:w="434" w:type="pct"/>
            <w:vAlign w:val="center"/>
          </w:tcPr>
          <w:p>
            <w:pPr>
              <w:spacing w:line="380" w:lineRule="atLeast"/>
              <w:ind w:firstLine="210" w:firstLineChars="100"/>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vAlign w:val="center"/>
          </w:tcPr>
          <w:p>
            <w:pPr>
              <w:spacing w:line="360" w:lineRule="atLeast"/>
              <w:rPr>
                <w:szCs w:val="21"/>
              </w:rPr>
            </w:pPr>
            <w:r>
              <w:rPr>
                <w:szCs w:val="21"/>
              </w:rPr>
              <w:t>需要补充的其他内容：</w:t>
            </w:r>
          </w:p>
          <w:p>
            <w:pPr>
              <w:spacing w:line="360" w:lineRule="atLeast"/>
              <w:rPr>
                <w:szCs w:val="21"/>
              </w:rPr>
            </w:pPr>
            <w:r>
              <w:rPr>
                <w:szCs w:val="21"/>
              </w:rPr>
              <w:t>……</w:t>
            </w:r>
          </w:p>
        </w:tc>
      </w:tr>
    </w:tbl>
    <w:p>
      <w:pPr>
        <w:pStyle w:val="89"/>
        <w:widowControl w:val="0"/>
        <w:spacing w:before="0" w:beforeAutospacing="0" w:after="0" w:afterAutospacing="0"/>
        <w:jc w:val="center"/>
        <w:rPr>
          <w:rFonts w:ascii="仿宋_GB2312" w:eastAsia="仿宋_GB2312"/>
          <w:b/>
          <w:sz w:val="36"/>
        </w:rPr>
      </w:pPr>
    </w:p>
    <w:p>
      <w:pPr>
        <w:pStyle w:val="89"/>
        <w:widowControl w:val="0"/>
        <w:spacing w:before="0" w:beforeAutospacing="0" w:after="0" w:afterAutospacing="0"/>
        <w:jc w:val="center"/>
        <w:rPr>
          <w:rFonts w:ascii="仿宋_GB2312" w:eastAsia="仿宋_GB2312"/>
          <w:b/>
          <w:sz w:val="36"/>
        </w:rPr>
      </w:pPr>
    </w:p>
    <w:p>
      <w:pPr>
        <w:pStyle w:val="89"/>
        <w:widowControl w:val="0"/>
        <w:spacing w:before="0" w:beforeAutospacing="0" w:after="0" w:afterAutospacing="0"/>
        <w:jc w:val="center"/>
        <w:rPr>
          <w:rFonts w:ascii="仿宋_GB2312" w:eastAsia="仿宋_GB2312"/>
          <w:b/>
          <w:sz w:val="36"/>
        </w:rPr>
      </w:pPr>
    </w:p>
    <w:p>
      <w:pPr>
        <w:pStyle w:val="89"/>
        <w:widowControl w:val="0"/>
        <w:spacing w:before="0" w:beforeAutospacing="0" w:after="0" w:afterAutospacing="0"/>
        <w:jc w:val="center"/>
        <w:rPr>
          <w:rFonts w:ascii="仿宋_GB2312" w:eastAsia="仿宋_GB2312"/>
          <w:b/>
          <w:sz w:val="36"/>
        </w:rPr>
      </w:pPr>
      <w:r>
        <w:rPr>
          <w:rFonts w:hint="eastAsia" w:ascii="仿宋_GB2312" w:eastAsia="仿宋_GB2312"/>
          <w:b/>
          <w:sz w:val="36"/>
        </w:rPr>
        <w:t>报价评分表</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4"/>
        <w:gridCol w:w="1520"/>
        <w:gridCol w:w="1100"/>
        <w:gridCol w:w="5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Align w:val="center"/>
          </w:tcPr>
          <w:p>
            <w:pPr>
              <w:spacing w:line="380" w:lineRule="atLeast"/>
              <w:jc w:val="center"/>
              <w:rPr>
                <w:b/>
                <w:szCs w:val="21"/>
              </w:rPr>
            </w:pPr>
            <w:r>
              <w:rPr>
                <w:rFonts w:hint="eastAsia"/>
                <w:b/>
                <w:szCs w:val="21"/>
              </w:rPr>
              <w:t>序号</w:t>
            </w:r>
          </w:p>
        </w:tc>
        <w:tc>
          <w:tcPr>
            <w:tcW w:w="771" w:type="pct"/>
            <w:vAlign w:val="center"/>
          </w:tcPr>
          <w:p>
            <w:pPr>
              <w:spacing w:line="380" w:lineRule="atLeast"/>
              <w:jc w:val="center"/>
              <w:rPr>
                <w:b/>
                <w:szCs w:val="21"/>
              </w:rPr>
            </w:pPr>
            <w:r>
              <w:rPr>
                <w:rFonts w:hint="eastAsia"/>
                <w:b/>
                <w:szCs w:val="21"/>
              </w:rPr>
              <w:t>评分因素</w:t>
            </w:r>
          </w:p>
        </w:tc>
        <w:tc>
          <w:tcPr>
            <w:tcW w:w="558" w:type="pct"/>
            <w:vAlign w:val="center"/>
          </w:tcPr>
          <w:p>
            <w:pPr>
              <w:spacing w:line="380" w:lineRule="atLeast"/>
              <w:jc w:val="center"/>
              <w:rPr>
                <w:rFonts w:ascii="宋体" w:hAnsi="宋体"/>
                <w:b/>
                <w:szCs w:val="21"/>
              </w:rPr>
            </w:pPr>
            <w:r>
              <w:rPr>
                <w:b/>
                <w:szCs w:val="21"/>
              </w:rPr>
              <w:t>评分因素权重分值</w:t>
            </w:r>
          </w:p>
        </w:tc>
        <w:tc>
          <w:tcPr>
            <w:tcW w:w="2877" w:type="pct"/>
            <w:vAlign w:val="center"/>
          </w:tcPr>
          <w:p>
            <w:pPr>
              <w:spacing w:line="380" w:lineRule="atLeast"/>
              <w:jc w:val="center"/>
              <w:rPr>
                <w:b/>
                <w:szCs w:val="21"/>
              </w:rPr>
            </w:pPr>
            <w:r>
              <w:rPr>
                <w:b/>
                <w:szCs w:val="21"/>
              </w:rPr>
              <w:t>各评分因素细分项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Align w:val="center"/>
          </w:tcPr>
          <w:p>
            <w:pPr>
              <w:spacing w:line="380" w:lineRule="atLeast"/>
              <w:jc w:val="center"/>
              <w:rPr>
                <w:szCs w:val="21"/>
              </w:rPr>
            </w:pPr>
            <w:r>
              <w:rPr>
                <w:rFonts w:hint="eastAsia"/>
                <w:szCs w:val="21"/>
              </w:rPr>
              <w:t>1</w:t>
            </w:r>
          </w:p>
        </w:tc>
        <w:tc>
          <w:tcPr>
            <w:tcW w:w="771" w:type="pct"/>
            <w:vAlign w:val="center"/>
          </w:tcPr>
          <w:p>
            <w:pPr>
              <w:spacing w:line="380" w:lineRule="atLeast"/>
              <w:jc w:val="center"/>
              <w:rPr>
                <w:szCs w:val="21"/>
              </w:rPr>
            </w:pPr>
            <w:r>
              <w:rPr>
                <w:szCs w:val="21"/>
              </w:rPr>
              <w:t>评标价</w:t>
            </w:r>
          </w:p>
        </w:tc>
        <w:tc>
          <w:tcPr>
            <w:tcW w:w="558" w:type="pct"/>
            <w:vAlign w:val="center"/>
          </w:tcPr>
          <w:p>
            <w:pPr>
              <w:wordWrap w:val="0"/>
              <w:spacing w:line="380" w:lineRule="atLeast"/>
              <w:jc w:val="right"/>
              <w:rPr>
                <w:rFonts w:ascii="宋体" w:hAnsi="宋体"/>
                <w:szCs w:val="21"/>
              </w:rPr>
            </w:pPr>
            <w:r>
              <w:rPr>
                <w:rFonts w:hint="eastAsia" w:ascii="宋体" w:hAnsi="宋体"/>
                <w:szCs w:val="21"/>
                <w:u w:val="single"/>
              </w:rPr>
              <w:t xml:space="preserve">   </w:t>
            </w:r>
            <w:r>
              <w:rPr>
                <w:rFonts w:ascii="宋体" w:hAnsi="宋体"/>
                <w:szCs w:val="21"/>
              </w:rPr>
              <w:t>分</w:t>
            </w:r>
          </w:p>
        </w:tc>
        <w:tc>
          <w:tcPr>
            <w:tcW w:w="2877" w:type="pct"/>
          </w:tcPr>
          <w:p>
            <w:pPr>
              <w:spacing w:line="380" w:lineRule="atLeast"/>
              <w:rPr>
                <w:szCs w:val="21"/>
              </w:rPr>
            </w:pPr>
            <w:r>
              <w:rPr>
                <w:szCs w:val="21"/>
              </w:rPr>
              <w:t>评标价得分计算公式示例：</w:t>
            </w:r>
          </w:p>
          <w:p>
            <w:pPr>
              <w:spacing w:line="380" w:lineRule="atLeast"/>
              <w:rPr>
                <w:szCs w:val="21"/>
              </w:rPr>
            </w:pPr>
            <w:r>
              <w:rPr>
                <w:szCs w:val="21"/>
              </w:rPr>
              <w:t>（1）如果投标人的评标价&gt;评标基准价，则评标价得分＝F－偏差率×100× E</w:t>
            </w:r>
            <w:r>
              <w:rPr>
                <w:szCs w:val="21"/>
                <w:vertAlign w:val="subscript"/>
              </w:rPr>
              <w:t>1</w:t>
            </w:r>
            <w:r>
              <w:rPr>
                <w:szCs w:val="21"/>
              </w:rPr>
              <w:t>；</w:t>
            </w:r>
          </w:p>
          <w:p>
            <w:pPr>
              <w:spacing w:line="380" w:lineRule="atLeast"/>
              <w:rPr>
                <w:szCs w:val="21"/>
              </w:rPr>
            </w:pPr>
            <w:r>
              <w:rPr>
                <w:szCs w:val="21"/>
              </w:rPr>
              <w:t>（2）如果投标人的评标价≤评标基准价，则评标价得分＝F＋偏差率× 100× E</w:t>
            </w:r>
            <w:r>
              <w:rPr>
                <w:szCs w:val="21"/>
                <w:vertAlign w:val="subscript"/>
              </w:rPr>
              <w:t>2</w:t>
            </w:r>
            <w:r>
              <w:rPr>
                <w:szCs w:val="21"/>
              </w:rPr>
              <w:t>。</w:t>
            </w:r>
          </w:p>
          <w:p>
            <w:pPr>
              <w:spacing w:line="380" w:lineRule="atLeast"/>
              <w:rPr>
                <w:szCs w:val="21"/>
              </w:rPr>
            </w:pPr>
            <w:r>
              <w:rPr>
                <w:szCs w:val="21"/>
              </w:rPr>
              <w:t>其中</w:t>
            </w:r>
            <w:r>
              <w:rPr>
                <w:rFonts w:hint="eastAsia"/>
                <w:szCs w:val="21"/>
              </w:rPr>
              <w:t>：</w:t>
            </w:r>
            <w:r>
              <w:rPr>
                <w:szCs w:val="21"/>
              </w:rPr>
              <w:t>F是评标价所占的权重分值，E</w:t>
            </w:r>
            <w:r>
              <w:rPr>
                <w:szCs w:val="21"/>
                <w:vertAlign w:val="subscript"/>
              </w:rPr>
              <w:t>1</w:t>
            </w:r>
            <w:r>
              <w:rPr>
                <w:szCs w:val="21"/>
              </w:rPr>
              <w:t>是评标价每高于评标基准价一个百分点的扣分值</w:t>
            </w:r>
            <w:r>
              <w:rPr>
                <w:rFonts w:hint="eastAsia"/>
                <w:szCs w:val="21"/>
              </w:rPr>
              <w:t>，</w:t>
            </w:r>
            <w:r>
              <w:rPr>
                <w:szCs w:val="21"/>
              </w:rPr>
              <w:t>E</w:t>
            </w:r>
            <w:r>
              <w:rPr>
                <w:szCs w:val="21"/>
                <w:vertAlign w:val="subscript"/>
              </w:rPr>
              <w:t>2</w:t>
            </w:r>
            <w:r>
              <w:rPr>
                <w:szCs w:val="21"/>
              </w:rPr>
              <w:t>是评标价每低于评标基准价一个百分点的扣分值</w:t>
            </w:r>
            <w:r>
              <w:rPr>
                <w:rFonts w:hint="eastAsia"/>
                <w:szCs w:val="21"/>
              </w:rPr>
              <w:t>；</w:t>
            </w:r>
            <w:r>
              <w:rPr>
                <w:szCs w:val="21"/>
              </w:rPr>
              <w:t>招标人可依据招标项目具体特点和实际需要设置E</w:t>
            </w:r>
            <w:r>
              <w:rPr>
                <w:szCs w:val="21"/>
                <w:vertAlign w:val="subscript"/>
              </w:rPr>
              <w:t>1</w:t>
            </w:r>
            <w:r>
              <w:rPr>
                <w:szCs w:val="21"/>
              </w:rPr>
              <w:t>、E</w:t>
            </w:r>
            <w:r>
              <w:rPr>
                <w:szCs w:val="21"/>
                <w:vertAlign w:val="subscript"/>
              </w:rPr>
              <w:t>2</w:t>
            </w:r>
            <w:r>
              <w:rPr>
                <w:szCs w:val="21"/>
              </w:rPr>
              <w:t>，但E</w:t>
            </w:r>
            <w:r>
              <w:rPr>
                <w:szCs w:val="21"/>
                <w:vertAlign w:val="subscript"/>
              </w:rPr>
              <w:t>1</w:t>
            </w:r>
            <w:r>
              <w:rPr>
                <w:szCs w:val="21"/>
              </w:rPr>
              <w:t>应大于E</w:t>
            </w:r>
            <w:r>
              <w:rPr>
                <w:szCs w:val="21"/>
                <w:vertAlign w:val="subscript"/>
              </w:rPr>
              <w:t>2</w:t>
            </w:r>
          </w:p>
        </w:tc>
      </w:tr>
    </w:tbl>
    <w:p>
      <w:pPr>
        <w:spacing w:line="360" w:lineRule="atLeast"/>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报价评分计算说明：</w:t>
      </w:r>
    </w:p>
    <w:p>
      <w:pPr>
        <w:spacing w:line="360" w:lineRule="atLeast"/>
        <w:ind w:firstLine="480" w:firstLineChars="200"/>
        <w:rPr>
          <w:szCs w:val="21"/>
        </w:rPr>
      </w:pPr>
      <w:r>
        <w:rPr>
          <w:rFonts w:hint="eastAsia" w:asciiTheme="minorEastAsia" w:hAnsiTheme="minorEastAsia" w:eastAsiaTheme="minorEastAsia"/>
          <w:sz w:val="24"/>
        </w:rPr>
        <w:t>1、</w:t>
      </w:r>
      <w:r>
        <w:rPr>
          <w:szCs w:val="21"/>
        </w:rPr>
        <w:t>评标基准价的计算：</w:t>
      </w:r>
    </w:p>
    <w:p>
      <w:pPr>
        <w:spacing w:line="360" w:lineRule="atLeast"/>
        <w:ind w:firstLine="420" w:firstLineChars="200"/>
        <w:rPr>
          <w:szCs w:val="21"/>
        </w:rPr>
      </w:pPr>
      <w:r>
        <w:rPr>
          <w:szCs w:val="21"/>
        </w:rPr>
        <w:t>（1）评标价的确定：</w:t>
      </w:r>
    </w:p>
    <w:p>
      <w:pPr>
        <w:spacing w:line="360" w:lineRule="atLeast"/>
        <w:ind w:firstLine="420" w:firstLineChars="200"/>
        <w:rPr>
          <w:szCs w:val="21"/>
        </w:rPr>
      </w:pPr>
      <w:r>
        <w:rPr>
          <w:szCs w:val="21"/>
        </w:rPr>
        <w:t>方法一：评标价＝投标函文字报价</w:t>
      </w:r>
    </w:p>
    <w:p>
      <w:pPr>
        <w:pStyle w:val="89"/>
        <w:widowControl w:val="0"/>
        <w:spacing w:before="0" w:beforeAutospacing="0" w:after="0" w:afterAutospacing="0"/>
        <w:ind w:firstLine="360" w:firstLineChars="150"/>
        <w:rPr>
          <w:rFonts w:asciiTheme="minorEastAsia" w:hAnsiTheme="minorEastAsia" w:eastAsiaTheme="minorEastAsia"/>
        </w:rPr>
      </w:pPr>
      <w:r>
        <w:rPr>
          <w:szCs w:val="21"/>
        </w:rPr>
        <w:t>方法二：评标价＝投标函文字报价－暂估价－暂列金额（不含计日工总额）</w:t>
      </w:r>
    </w:p>
    <w:p>
      <w:pPr>
        <w:spacing w:line="360" w:lineRule="atLeast"/>
        <w:ind w:firstLine="420" w:firstLineChars="200"/>
        <w:rPr>
          <w:szCs w:val="21"/>
        </w:rPr>
      </w:pPr>
      <w:r>
        <w:rPr>
          <w:rFonts w:hint="eastAsia"/>
          <w:szCs w:val="21"/>
        </w:rPr>
        <w:t>方法三：</w:t>
      </w:r>
      <w:r>
        <w:rPr>
          <w:szCs w:val="21"/>
        </w:rPr>
        <w:t>……</w:t>
      </w:r>
    </w:p>
    <w:p>
      <w:pPr>
        <w:spacing w:line="360" w:lineRule="atLeast"/>
        <w:ind w:firstLine="420" w:firstLineChars="200"/>
        <w:rPr>
          <w:szCs w:val="21"/>
        </w:rPr>
      </w:pPr>
      <w:r>
        <w:rPr>
          <w:szCs w:val="21"/>
        </w:rPr>
        <w:t>（2）评标价平均值的计算：</w:t>
      </w:r>
    </w:p>
    <w:p>
      <w:pPr>
        <w:spacing w:line="360" w:lineRule="atLeast"/>
        <w:ind w:firstLine="525" w:firstLineChars="250"/>
        <w:rPr>
          <w:szCs w:val="21"/>
        </w:rPr>
      </w:pPr>
      <w:r>
        <w:rPr>
          <w:rFonts w:hint="eastAsia"/>
          <w:szCs w:val="21"/>
        </w:rPr>
        <w:t>被废标、否决投标、投标无效或存在以下任一情况，其投标报价将不再参加评标基准价的计算：</w:t>
      </w:r>
    </w:p>
    <w:p>
      <w:pPr>
        <w:spacing w:line="360" w:lineRule="atLeast"/>
        <w:ind w:firstLine="420" w:firstLineChars="200"/>
        <w:rPr>
          <w:szCs w:val="21"/>
        </w:rPr>
      </w:pPr>
      <w:r>
        <w:rPr>
          <w:rFonts w:hint="eastAsia"/>
          <w:szCs w:val="21"/>
        </w:rPr>
        <w:t>①未在投标函上填写投标总价；</w:t>
      </w:r>
    </w:p>
    <w:p>
      <w:pPr>
        <w:spacing w:line="360" w:lineRule="atLeast"/>
        <w:ind w:firstLine="420" w:firstLineChars="200"/>
        <w:rPr>
          <w:szCs w:val="21"/>
        </w:rPr>
      </w:pPr>
      <w:r>
        <w:rPr>
          <w:rFonts w:hint="eastAsia"/>
          <w:szCs w:val="21"/>
        </w:rPr>
        <w:t>②投标报价或调价函中的报价超出招标人公布的最高投标限价（如有）；</w:t>
      </w:r>
    </w:p>
    <w:p>
      <w:pPr>
        <w:spacing w:line="360" w:lineRule="atLeast"/>
        <w:ind w:firstLine="420" w:firstLineChars="200"/>
        <w:rPr>
          <w:szCs w:val="21"/>
        </w:rPr>
      </w:pPr>
      <w:r>
        <w:rPr>
          <w:rFonts w:hint="eastAsia"/>
          <w:szCs w:val="21"/>
        </w:rPr>
        <w:t>③投标报价或调价函中报价的大写金额无法确定具体数值；</w:t>
      </w:r>
    </w:p>
    <w:p>
      <w:pPr>
        <w:spacing w:line="360" w:lineRule="atLeast"/>
        <w:ind w:firstLine="420" w:firstLineChars="200"/>
        <w:rPr>
          <w:szCs w:val="21"/>
        </w:rPr>
      </w:pPr>
      <w:r>
        <w:rPr>
          <w:szCs w:val="21"/>
        </w:rPr>
        <w:t>除</w:t>
      </w:r>
      <w:r>
        <w:rPr>
          <w:rFonts w:hint="eastAsia"/>
          <w:szCs w:val="21"/>
        </w:rPr>
        <w:t>上述</w:t>
      </w:r>
      <w:r>
        <w:rPr>
          <w:szCs w:val="21"/>
        </w:rPr>
        <w:t>规定开标现场被宣布</w:t>
      </w:r>
      <w:r>
        <w:rPr>
          <w:rFonts w:hint="eastAsia"/>
          <w:szCs w:val="21"/>
        </w:rPr>
        <w:t>不进入评标基准价计算</w:t>
      </w:r>
      <w:r>
        <w:rPr>
          <w:szCs w:val="21"/>
        </w:rPr>
        <w:t>的投标报价之外，所有投标人的评标价去掉一个最高值和一个最低值后的算术平均值即为评标价平均值（如果参与评标价平均值计算的有效投标人少于5家时，则计算评标价平均值时不去掉最高值和最低值）；</w:t>
      </w:r>
    </w:p>
    <w:p>
      <w:pPr>
        <w:spacing w:line="360" w:lineRule="atLeast"/>
        <w:ind w:firstLine="420" w:firstLineChars="200"/>
        <w:rPr>
          <w:szCs w:val="21"/>
        </w:rPr>
      </w:pPr>
      <w:r>
        <w:rPr>
          <w:szCs w:val="21"/>
        </w:rPr>
        <w:t>（3）评标基准价的确定：</w:t>
      </w:r>
    </w:p>
    <w:p>
      <w:pPr>
        <w:spacing w:line="360" w:lineRule="atLeast"/>
        <w:ind w:firstLine="420" w:firstLineChars="200"/>
        <w:rPr>
          <w:szCs w:val="21"/>
        </w:rPr>
      </w:pPr>
      <w:r>
        <w:rPr>
          <w:szCs w:val="21"/>
        </w:rPr>
        <w:t>方法一：</w:t>
      </w:r>
      <w:r>
        <w:rPr>
          <w:rFonts w:hint="eastAsia"/>
          <w:szCs w:val="21"/>
        </w:rPr>
        <w:t>将</w:t>
      </w:r>
      <w:r>
        <w:rPr>
          <w:szCs w:val="21"/>
        </w:rPr>
        <w:t>评标价平均值直接作为评标基准价。</w:t>
      </w:r>
    </w:p>
    <w:p>
      <w:pPr>
        <w:spacing w:line="360" w:lineRule="atLeast"/>
        <w:ind w:firstLine="420" w:firstLineChars="200"/>
        <w:rPr>
          <w:szCs w:val="21"/>
        </w:rPr>
      </w:pPr>
      <w:r>
        <w:rPr>
          <w:szCs w:val="21"/>
        </w:rPr>
        <w:t>方法二：将评标价平均值下浮</w:t>
      </w:r>
      <w:r>
        <w:rPr>
          <w:rFonts w:hint="eastAsia"/>
          <w:szCs w:val="21"/>
          <w:u w:val="single"/>
        </w:rPr>
        <w:t xml:space="preserve">   </w:t>
      </w:r>
      <w:r>
        <w:rPr>
          <w:szCs w:val="21"/>
        </w:rPr>
        <w:t>％，作为评标基准价。</w:t>
      </w:r>
    </w:p>
    <w:p>
      <w:pPr>
        <w:spacing w:line="360" w:lineRule="atLeast"/>
        <w:ind w:firstLine="420" w:firstLineChars="200"/>
        <w:rPr>
          <w:szCs w:val="21"/>
        </w:rPr>
      </w:pPr>
      <w:r>
        <w:rPr>
          <w:szCs w:val="21"/>
        </w:rPr>
        <w:t>方法三：招标人设置评标基准价系数，由投标人代表现场抽取，评标价平均值乘以现场抽取的评标基准价系数作为评标基准价。</w:t>
      </w:r>
    </w:p>
    <w:p>
      <w:pPr>
        <w:spacing w:line="360" w:lineRule="atLeast"/>
        <w:ind w:firstLine="420" w:firstLineChars="200"/>
        <w:rPr>
          <w:szCs w:val="21"/>
        </w:rPr>
      </w:pPr>
      <w:r>
        <w:rPr>
          <w:szCs w:val="21"/>
        </w:rPr>
        <w:t>方法四：……</w:t>
      </w:r>
    </w:p>
    <w:p>
      <w:pPr>
        <w:ind w:firstLine="420" w:firstLineChars="200"/>
        <w:rPr>
          <w:szCs w:val="21"/>
        </w:rPr>
      </w:pPr>
      <w:r>
        <w:rPr>
          <w:rFonts w:hint="eastAsia"/>
          <w:szCs w:val="21"/>
        </w:rPr>
        <w:t>除评标基准价计算错误以外,在整个评标期间保持不变，不随任何因素发生变化。</w:t>
      </w:r>
    </w:p>
    <w:p>
      <w:pPr>
        <w:ind w:firstLine="420" w:firstLineChars="200"/>
        <w:rPr>
          <w:szCs w:val="21"/>
        </w:rPr>
      </w:pPr>
      <w:r>
        <w:rPr>
          <w:rFonts w:hint="eastAsia"/>
          <w:color w:val="FF0000"/>
          <w:szCs w:val="18"/>
        </w:rPr>
        <w:t>注：招标人可依据招标项目特点和实际需要，选择或制定适合项目的评标基准价计算方法。与评标基准价计算或评标价得分计算相关的所有系数（如有），其具体数值或随机抽取的数值区间均应在评标办法中予以明确。</w:t>
      </w:r>
    </w:p>
    <w:p>
      <w:pPr>
        <w:spacing w:line="360" w:lineRule="atLeast"/>
        <w:ind w:firstLine="420" w:firstLineChars="200"/>
        <w:rPr>
          <w:szCs w:val="21"/>
        </w:rPr>
      </w:pPr>
      <w:r>
        <w:rPr>
          <w:rFonts w:hint="eastAsia"/>
          <w:szCs w:val="21"/>
        </w:rPr>
        <w:t>2、</w:t>
      </w:r>
      <w:r>
        <w:rPr>
          <w:szCs w:val="21"/>
        </w:rPr>
        <w:t>评标价的偏差率计算公式</w:t>
      </w:r>
      <w:r>
        <w:rPr>
          <w:rFonts w:hint="eastAsia"/>
          <w:szCs w:val="21"/>
        </w:rPr>
        <w:t>：</w:t>
      </w:r>
      <w:r>
        <w:rPr>
          <w:szCs w:val="21"/>
        </w:rPr>
        <w:t>偏差率=100% ×（投标人评标价－评标基准价）/评标基准价</w:t>
      </w:r>
      <w:r>
        <w:rPr>
          <w:rFonts w:hint="eastAsia"/>
          <w:szCs w:val="21"/>
        </w:rPr>
        <w:t>，偏差率</w:t>
      </w:r>
      <w:r>
        <w:rPr>
          <w:szCs w:val="21"/>
        </w:rPr>
        <w:t>保留</w:t>
      </w:r>
      <w:r>
        <w:rPr>
          <w:rFonts w:hint="eastAsia"/>
          <w:szCs w:val="21"/>
          <w:u w:val="single"/>
        </w:rPr>
        <w:t xml:space="preserve">     </w:t>
      </w:r>
      <w:r>
        <w:rPr>
          <w:rFonts w:hint="eastAsia"/>
          <w:szCs w:val="21"/>
        </w:rPr>
        <w:t>位</w:t>
      </w:r>
      <w:r>
        <w:rPr>
          <w:szCs w:val="21"/>
        </w:rPr>
        <w:t>小数</w:t>
      </w:r>
      <w:r>
        <w:rPr>
          <w:rFonts w:hint="eastAsia"/>
          <w:szCs w:val="21"/>
        </w:rPr>
        <w:t>，小数点后第</w:t>
      </w:r>
      <w:r>
        <w:rPr>
          <w:rFonts w:hint="eastAsia"/>
          <w:szCs w:val="21"/>
          <w:u w:val="single"/>
        </w:rPr>
        <w:t xml:space="preserve">    </w:t>
      </w:r>
      <w:r>
        <w:rPr>
          <w:rFonts w:hint="eastAsia"/>
          <w:szCs w:val="21"/>
        </w:rPr>
        <w:t>位“四舍五入”。</w:t>
      </w:r>
    </w:p>
    <w:p>
      <w:pPr>
        <w:spacing w:line="360" w:lineRule="atLeast"/>
        <w:ind w:firstLine="420" w:firstLineChars="200"/>
        <w:rPr>
          <w:szCs w:val="21"/>
        </w:rPr>
      </w:pPr>
      <w:r>
        <w:rPr>
          <w:rFonts w:hint="eastAsia"/>
          <w:szCs w:val="21"/>
        </w:rPr>
        <w:t>3、投标人报价评分分值计算保留小数点后两位，小数点后第三位“四舍五入”。</w:t>
      </w:r>
    </w:p>
    <w:p>
      <w:pPr>
        <w:ind w:firstLine="480" w:firstLineChars="200"/>
        <w:rPr>
          <w:rFonts w:ascii="黑体" w:hAnsi="宋体" w:eastAsia="黑体"/>
          <w:sz w:val="24"/>
        </w:rPr>
      </w:pPr>
      <w:r>
        <w:rPr>
          <w:rFonts w:hint="eastAsia" w:ascii="黑体" w:hAnsi="宋体" w:eastAsia="黑体"/>
          <w:sz w:val="24"/>
        </w:rPr>
        <w:t>投标人最终实际得分＝技术资信得分＋报价得分。</w:t>
      </w:r>
    </w:p>
    <w:p>
      <w:pPr>
        <w:ind w:firstLine="480" w:firstLineChars="200"/>
        <w:rPr>
          <w:rFonts w:ascii="黑体" w:hAnsi="宋体" w:eastAsia="黑体"/>
          <w:sz w:val="24"/>
        </w:rPr>
      </w:pPr>
      <w:r>
        <w:rPr>
          <w:rFonts w:hint="eastAsia" w:ascii="黑体" w:hAnsi="宋体" w:eastAsia="黑体"/>
          <w:sz w:val="24"/>
        </w:rPr>
        <w:t>按投标人最终实际得分从高到低依次确定中标候选人排序，并推荐1至3名中标候选人。若投标人最终实际得分相同，则评标委员会依次按照以下优先顺序推荐中标候选人或确定中标人：</w:t>
      </w:r>
    </w:p>
    <w:p>
      <w:pPr>
        <w:rPr>
          <w:rFonts w:ascii="黑体" w:hAnsi="宋体" w:eastAsia="黑体"/>
          <w:sz w:val="24"/>
        </w:rPr>
      </w:pPr>
      <w:r>
        <w:rPr>
          <w:rFonts w:hint="eastAsia" w:ascii="黑体" w:hAnsi="宋体" w:eastAsia="黑体"/>
          <w:sz w:val="24"/>
        </w:rPr>
        <w:t>①评标价低的投标人优先；</w:t>
      </w:r>
    </w:p>
    <w:p>
      <w:pPr>
        <w:rPr>
          <w:rFonts w:ascii="黑体" w:hAnsi="宋体" w:eastAsia="黑体"/>
          <w:sz w:val="24"/>
        </w:rPr>
      </w:pPr>
      <w:r>
        <w:rPr>
          <w:rFonts w:hint="eastAsia" w:ascii="黑体" w:hAnsi="宋体" w:eastAsia="黑体"/>
          <w:sz w:val="24"/>
        </w:rPr>
        <w:t>②被招标项目所在地省级交通运输主管部门评为较高信用等级的投标人优先；</w:t>
      </w:r>
    </w:p>
    <w:p>
      <w:pPr>
        <w:rPr>
          <w:rFonts w:ascii="黑体" w:hAnsi="宋体" w:eastAsia="黑体"/>
          <w:sz w:val="24"/>
        </w:rPr>
      </w:pPr>
      <w:r>
        <w:rPr>
          <w:rFonts w:hint="eastAsia" w:ascii="黑体" w:hAnsi="宋体" w:eastAsia="黑体"/>
          <w:sz w:val="24"/>
        </w:rPr>
        <w:t>③技术资信得分较高的投标人优先。</w:t>
      </w:r>
    </w:p>
    <w:p>
      <w:pPr>
        <w:rPr>
          <w:rFonts w:ascii="黑体" w:hAnsi="宋体" w:eastAsia="黑体"/>
          <w:sz w:val="24"/>
        </w:rPr>
      </w:pPr>
      <w:r>
        <w:rPr>
          <w:rFonts w:hint="eastAsia" w:ascii="黑体" w:hAnsi="宋体" w:eastAsia="黑体"/>
          <w:sz w:val="24"/>
        </w:rPr>
        <w:t>④……</w:t>
      </w:r>
    </w:p>
    <w:p>
      <w:pPr>
        <w:ind w:firstLine="480" w:firstLineChars="200"/>
        <w:rPr>
          <w:rFonts w:ascii="宋体" w:hAnsi="宋体"/>
          <w:color w:val="0000FF"/>
          <w:sz w:val="24"/>
        </w:rPr>
      </w:pPr>
      <w:r>
        <w:rPr>
          <w:rFonts w:hint="eastAsia" w:ascii="黑体" w:hAnsi="宋体" w:eastAsia="黑体"/>
          <w:sz w:val="24"/>
        </w:rPr>
        <w:t>按上述规则不能确定中标人的，</w:t>
      </w:r>
      <w:r>
        <w:rPr>
          <w:rFonts w:ascii="黑体" w:hAnsi="宋体" w:eastAsia="黑体"/>
          <w:sz w:val="24"/>
        </w:rPr>
        <w:t>由招标人代表现场随机确定中标候选人排序</w:t>
      </w:r>
      <w:r>
        <w:rPr>
          <w:rFonts w:hint="eastAsia" w:ascii="黑体" w:hAnsi="宋体" w:eastAsia="黑体"/>
          <w:sz w:val="24"/>
        </w:rPr>
        <w:t>。</w:t>
      </w:r>
    </w:p>
    <w:p>
      <w:pPr>
        <w:ind w:firstLine="480" w:firstLineChars="200"/>
        <w:rPr>
          <w:rFonts w:ascii="黑体" w:hAnsi="宋体" w:eastAsia="黑体"/>
          <w:bCs/>
          <w:sz w:val="24"/>
        </w:rPr>
      </w:pPr>
      <w:r>
        <w:rPr>
          <w:rFonts w:hint="eastAsia" w:ascii="黑体" w:hAnsi="宋体" w:eastAsia="黑体"/>
          <w:bCs/>
          <w:sz w:val="24"/>
        </w:rPr>
        <w:t>投标文件中有含义不明确的内容、明显文字或者计算错误，评标委员会认为需要投标人作出必要澄清、说明的，评标委员会应主动向投标人询标，并对询标的内容填表记录。投标人的澄清、说明应当采用招标文件规定的形式，并不得超出投标文件的范围或者改变投标文件的实质性内容。评标委员会不得暗示或者诱导投标人作出澄清、说明，不得接受投标人主动提出的澄清、说明。</w:t>
      </w:r>
    </w:p>
    <w:p>
      <w:pPr>
        <w:ind w:firstLine="480" w:firstLineChars="200"/>
        <w:rPr>
          <w:rFonts w:ascii="黑体" w:hAnsi="宋体" w:eastAsia="黑体"/>
          <w:bCs/>
          <w:sz w:val="24"/>
        </w:rPr>
      </w:pPr>
      <w:r>
        <w:rPr>
          <w:rFonts w:hint="eastAsia" w:ascii="黑体" w:hAnsi="宋体" w:eastAsia="黑体"/>
          <w:bCs/>
          <w:sz w:val="24"/>
        </w:rPr>
        <w:t>评委会在评标过程中发现的问题，应当及时作出处理或者向招标人提出处理建议，并作书面记录。</w:t>
      </w:r>
    </w:p>
    <w:p>
      <w:pPr>
        <w:widowControl/>
        <w:jc w:val="left"/>
        <w:rPr>
          <w:rFonts w:ascii="黑体" w:hAnsi="宋体" w:eastAsia="黑体"/>
          <w:bCs/>
          <w:sz w:val="24"/>
        </w:rPr>
      </w:pPr>
      <w:r>
        <w:rPr>
          <w:rFonts w:ascii="黑体" w:hAnsi="宋体" w:eastAsia="黑体"/>
          <w:bCs/>
          <w:sz w:val="24"/>
        </w:rPr>
        <w:br w:type="page"/>
      </w:r>
    </w:p>
    <w:p>
      <w:pPr>
        <w:ind w:firstLine="602" w:firstLineChars="200"/>
        <w:rPr>
          <w:rFonts w:ascii="黑体" w:hAnsi="宋体" w:eastAsia="黑体"/>
          <w:color w:val="FF0000"/>
          <w:sz w:val="24"/>
        </w:rPr>
      </w:pPr>
      <w:r>
        <w:rPr>
          <w:rFonts w:hint="eastAsia" w:hAnsi="宋体"/>
          <w:b/>
          <w:sz w:val="30"/>
          <w:szCs w:val="30"/>
        </w:rPr>
        <w:t>评标办法：</w:t>
      </w:r>
      <w:r>
        <w:rPr>
          <w:rFonts w:hint="eastAsia" w:ascii="黑体" w:hAnsi="宋体" w:eastAsia="黑体"/>
          <w:color w:val="FF0000"/>
          <w:sz w:val="24"/>
        </w:rPr>
        <w:t>本项目采用</w:t>
      </w:r>
      <w:r>
        <w:rPr>
          <w:rFonts w:hint="eastAsia" w:ascii="黑体" w:hAnsi="宋体" w:eastAsia="黑体"/>
          <w:color w:val="FF0000"/>
          <w:sz w:val="24"/>
          <w:u w:val="double"/>
        </w:rPr>
        <w:t>“合理低价法”</w:t>
      </w:r>
      <w:r>
        <w:rPr>
          <w:rFonts w:hint="eastAsia" w:ascii="黑体" w:hAnsi="宋体" w:eastAsia="黑体"/>
          <w:color w:val="FF0000"/>
          <w:sz w:val="24"/>
        </w:rPr>
        <w:t>。</w:t>
      </w:r>
    </w:p>
    <w:p>
      <w:pPr>
        <w:pStyle w:val="26"/>
        <w:spacing w:line="360" w:lineRule="exact"/>
        <w:ind w:firstLine="480" w:firstLineChars="200"/>
        <w:rPr>
          <w:rFonts w:ascii="仿宋_GB2312" w:hAnsi="宋体" w:eastAsia="仿宋_GB2312"/>
          <w:color w:val="000000"/>
          <w:sz w:val="24"/>
        </w:rPr>
      </w:pPr>
      <w:r>
        <w:rPr>
          <w:rFonts w:hint="eastAsia" w:ascii="仿宋_GB2312" w:hAnsi="宋体" w:eastAsia="仿宋_GB2312"/>
          <w:color w:val="000000"/>
          <w:sz w:val="24"/>
        </w:rPr>
        <w:t>本次评标采用“合理低价法”。即评标委员会遵循规定的评标原则，首先对投标人资格和技术标进行评审。评委会在对投标人资格评审时，应结合投标文件技术标一并进行。对资格评审通过的投标人进行技术标评审和报价打分。</w:t>
      </w:r>
    </w:p>
    <w:p>
      <w:pPr>
        <w:ind w:firstLine="480" w:firstLineChars="200"/>
        <w:rPr>
          <w:rFonts w:ascii="黑体" w:hAnsi="宋体" w:eastAsia="黑体"/>
          <w:bCs/>
          <w:sz w:val="24"/>
        </w:rPr>
      </w:pPr>
      <w:r>
        <w:rPr>
          <w:rFonts w:hint="eastAsia" w:ascii="仿宋_GB2312" w:hAnsi="宋体" w:eastAsia="仿宋_GB2312"/>
          <w:sz w:val="24"/>
        </w:rPr>
        <w:t>仅对通过技术标评审的投标人商务标公开唱标，</w:t>
      </w:r>
      <w:r>
        <w:rPr>
          <w:rFonts w:hint="eastAsia" w:ascii="仿宋_GB2312" w:hAnsi="宋体" w:eastAsia="仿宋_GB2312"/>
          <w:color w:val="000000"/>
          <w:sz w:val="24"/>
        </w:rPr>
        <w:t>对通过技术标初审和技术标详细评审的投标人进行商务标评审，对商务标评审通过的投标人进行报价评分：</w:t>
      </w:r>
    </w:p>
    <w:p>
      <w:pPr>
        <w:pStyle w:val="89"/>
        <w:widowControl w:val="0"/>
        <w:spacing w:before="0" w:beforeAutospacing="0" w:after="0" w:afterAutospacing="0"/>
        <w:jc w:val="center"/>
        <w:rPr>
          <w:rFonts w:ascii="仿宋_GB2312" w:eastAsia="仿宋_GB2312"/>
          <w:b/>
          <w:sz w:val="36"/>
        </w:rPr>
      </w:pPr>
      <w:r>
        <w:rPr>
          <w:rFonts w:hint="eastAsia" w:ascii="仿宋_GB2312" w:eastAsia="仿宋_GB2312"/>
          <w:b/>
          <w:sz w:val="36"/>
        </w:rPr>
        <w:t>报价评分表</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4"/>
        <w:gridCol w:w="1520"/>
        <w:gridCol w:w="1100"/>
        <w:gridCol w:w="5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Align w:val="center"/>
          </w:tcPr>
          <w:p>
            <w:pPr>
              <w:spacing w:line="380" w:lineRule="atLeast"/>
              <w:jc w:val="center"/>
              <w:rPr>
                <w:b/>
                <w:szCs w:val="21"/>
              </w:rPr>
            </w:pPr>
            <w:r>
              <w:rPr>
                <w:rFonts w:hint="eastAsia"/>
                <w:b/>
                <w:szCs w:val="21"/>
              </w:rPr>
              <w:t>序号</w:t>
            </w:r>
          </w:p>
        </w:tc>
        <w:tc>
          <w:tcPr>
            <w:tcW w:w="771" w:type="pct"/>
            <w:vAlign w:val="center"/>
          </w:tcPr>
          <w:p>
            <w:pPr>
              <w:spacing w:line="380" w:lineRule="atLeast"/>
              <w:jc w:val="center"/>
              <w:rPr>
                <w:b/>
                <w:szCs w:val="21"/>
              </w:rPr>
            </w:pPr>
            <w:r>
              <w:rPr>
                <w:rFonts w:hint="eastAsia"/>
                <w:b/>
                <w:szCs w:val="21"/>
              </w:rPr>
              <w:t>评分因素</w:t>
            </w:r>
          </w:p>
        </w:tc>
        <w:tc>
          <w:tcPr>
            <w:tcW w:w="558" w:type="pct"/>
            <w:vAlign w:val="center"/>
          </w:tcPr>
          <w:p>
            <w:pPr>
              <w:spacing w:line="380" w:lineRule="atLeast"/>
              <w:jc w:val="center"/>
              <w:rPr>
                <w:rFonts w:ascii="宋体" w:hAnsi="宋体"/>
                <w:b/>
                <w:szCs w:val="21"/>
              </w:rPr>
            </w:pPr>
            <w:r>
              <w:rPr>
                <w:b/>
                <w:szCs w:val="21"/>
              </w:rPr>
              <w:t>评分因素权重分值</w:t>
            </w:r>
          </w:p>
        </w:tc>
        <w:tc>
          <w:tcPr>
            <w:tcW w:w="2877" w:type="pct"/>
            <w:vAlign w:val="center"/>
          </w:tcPr>
          <w:p>
            <w:pPr>
              <w:spacing w:line="380" w:lineRule="atLeast"/>
              <w:jc w:val="center"/>
              <w:rPr>
                <w:b/>
                <w:szCs w:val="21"/>
              </w:rPr>
            </w:pPr>
            <w:r>
              <w:rPr>
                <w:b/>
                <w:szCs w:val="21"/>
              </w:rPr>
              <w:t>各评分因素细分项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Align w:val="center"/>
          </w:tcPr>
          <w:p>
            <w:pPr>
              <w:spacing w:line="380" w:lineRule="atLeast"/>
              <w:jc w:val="center"/>
              <w:rPr>
                <w:szCs w:val="21"/>
              </w:rPr>
            </w:pPr>
            <w:r>
              <w:rPr>
                <w:rFonts w:hint="eastAsia"/>
                <w:szCs w:val="21"/>
              </w:rPr>
              <w:t>1</w:t>
            </w:r>
          </w:p>
        </w:tc>
        <w:tc>
          <w:tcPr>
            <w:tcW w:w="771" w:type="pct"/>
            <w:vAlign w:val="center"/>
          </w:tcPr>
          <w:p>
            <w:pPr>
              <w:spacing w:line="380" w:lineRule="atLeast"/>
              <w:jc w:val="center"/>
              <w:rPr>
                <w:szCs w:val="21"/>
              </w:rPr>
            </w:pPr>
            <w:r>
              <w:rPr>
                <w:szCs w:val="21"/>
              </w:rPr>
              <w:t>评标价</w:t>
            </w:r>
          </w:p>
        </w:tc>
        <w:tc>
          <w:tcPr>
            <w:tcW w:w="558" w:type="pct"/>
            <w:vAlign w:val="center"/>
          </w:tcPr>
          <w:p>
            <w:pPr>
              <w:spacing w:line="380" w:lineRule="atLeast"/>
              <w:jc w:val="right"/>
              <w:rPr>
                <w:rFonts w:ascii="宋体" w:hAnsi="宋体"/>
                <w:szCs w:val="21"/>
              </w:rPr>
            </w:pPr>
            <w:r>
              <w:rPr>
                <w:szCs w:val="21"/>
                <w:u w:val="single"/>
              </w:rPr>
              <w:t>100</w:t>
            </w:r>
            <w:r>
              <w:rPr>
                <w:rFonts w:ascii="宋体" w:hAnsi="宋体"/>
                <w:szCs w:val="21"/>
              </w:rPr>
              <w:t>分</w:t>
            </w:r>
          </w:p>
        </w:tc>
        <w:tc>
          <w:tcPr>
            <w:tcW w:w="2877" w:type="pct"/>
          </w:tcPr>
          <w:p>
            <w:pPr>
              <w:spacing w:line="360" w:lineRule="atLeast"/>
              <w:rPr>
                <w:szCs w:val="21"/>
              </w:rPr>
            </w:pPr>
            <w:r>
              <w:rPr>
                <w:szCs w:val="21"/>
              </w:rPr>
              <w:t>评标价得分计算公式示例：</w:t>
            </w:r>
          </w:p>
          <w:p>
            <w:pPr>
              <w:spacing w:line="360" w:lineRule="atLeast"/>
              <w:rPr>
                <w:szCs w:val="21"/>
              </w:rPr>
            </w:pPr>
            <w:r>
              <w:rPr>
                <w:szCs w:val="21"/>
              </w:rPr>
              <w:t>（1）如果投标人的评标价&gt;评标基准价，则评标价得分＝100－偏差率×100×E</w:t>
            </w:r>
            <w:r>
              <w:rPr>
                <w:szCs w:val="21"/>
                <w:vertAlign w:val="subscript"/>
              </w:rPr>
              <w:t>1</w:t>
            </w:r>
            <w:r>
              <w:rPr>
                <w:szCs w:val="21"/>
              </w:rPr>
              <w:t>；</w:t>
            </w:r>
          </w:p>
          <w:p>
            <w:pPr>
              <w:spacing w:line="360" w:lineRule="atLeast"/>
              <w:rPr>
                <w:szCs w:val="21"/>
              </w:rPr>
            </w:pPr>
            <w:r>
              <w:rPr>
                <w:szCs w:val="21"/>
              </w:rPr>
              <w:t>（2）如果投标人的评标价≤评标基准价，则评标价得分＝100＋偏差率×100×E</w:t>
            </w:r>
            <w:r>
              <w:rPr>
                <w:szCs w:val="21"/>
                <w:vertAlign w:val="subscript"/>
              </w:rPr>
              <w:t>2</w:t>
            </w:r>
            <w:r>
              <w:rPr>
                <w:szCs w:val="21"/>
              </w:rPr>
              <w:t>。</w:t>
            </w:r>
          </w:p>
          <w:p>
            <w:pPr>
              <w:spacing w:line="380" w:lineRule="atLeast"/>
              <w:rPr>
                <w:szCs w:val="21"/>
              </w:rPr>
            </w:pPr>
            <w:r>
              <w:rPr>
                <w:szCs w:val="21"/>
              </w:rPr>
              <w:t>其中</w:t>
            </w:r>
            <w:r>
              <w:rPr>
                <w:rFonts w:hint="eastAsia"/>
                <w:szCs w:val="21"/>
              </w:rPr>
              <w:t>：</w:t>
            </w:r>
            <w:r>
              <w:rPr>
                <w:szCs w:val="21"/>
              </w:rPr>
              <w:t>E</w:t>
            </w:r>
            <w:r>
              <w:rPr>
                <w:szCs w:val="21"/>
                <w:vertAlign w:val="subscript"/>
              </w:rPr>
              <w:t>1</w:t>
            </w:r>
            <w:r>
              <w:rPr>
                <w:szCs w:val="21"/>
              </w:rPr>
              <w:t>是评标价每高于评标基准价一个百分点的扣分值</w:t>
            </w:r>
            <w:r>
              <w:rPr>
                <w:rFonts w:hint="eastAsia"/>
                <w:szCs w:val="21"/>
              </w:rPr>
              <w:t>，</w:t>
            </w:r>
            <w:r>
              <w:rPr>
                <w:szCs w:val="21"/>
              </w:rPr>
              <w:t>E</w:t>
            </w:r>
            <w:r>
              <w:rPr>
                <w:szCs w:val="21"/>
                <w:vertAlign w:val="subscript"/>
              </w:rPr>
              <w:t>2</w:t>
            </w:r>
            <w:r>
              <w:rPr>
                <w:szCs w:val="21"/>
              </w:rPr>
              <w:t>是评标价每低于评标基准价一个百分点的扣分值</w:t>
            </w:r>
            <w:r>
              <w:rPr>
                <w:rFonts w:hint="eastAsia"/>
                <w:szCs w:val="21"/>
              </w:rPr>
              <w:t>；</w:t>
            </w:r>
            <w:r>
              <w:rPr>
                <w:szCs w:val="21"/>
              </w:rPr>
              <w:t>招标人可依据招标项目具体特点和实际需要设置E</w:t>
            </w:r>
            <w:r>
              <w:rPr>
                <w:szCs w:val="21"/>
                <w:vertAlign w:val="subscript"/>
              </w:rPr>
              <w:t>1</w:t>
            </w:r>
            <w:r>
              <w:rPr>
                <w:szCs w:val="21"/>
              </w:rPr>
              <w:t>、E</w:t>
            </w:r>
            <w:r>
              <w:rPr>
                <w:szCs w:val="21"/>
                <w:vertAlign w:val="subscript"/>
              </w:rPr>
              <w:t>2</w:t>
            </w:r>
            <w:r>
              <w:rPr>
                <w:szCs w:val="21"/>
              </w:rPr>
              <w:t>，但E</w:t>
            </w:r>
            <w:r>
              <w:rPr>
                <w:szCs w:val="21"/>
                <w:vertAlign w:val="subscript"/>
              </w:rPr>
              <w:t>1</w:t>
            </w:r>
            <w:r>
              <w:rPr>
                <w:szCs w:val="21"/>
              </w:rPr>
              <w:t>应大于E</w:t>
            </w:r>
            <w:r>
              <w:rPr>
                <w:szCs w:val="21"/>
                <w:vertAlign w:val="subscript"/>
              </w:rPr>
              <w:t>2</w:t>
            </w:r>
          </w:p>
        </w:tc>
      </w:tr>
    </w:tbl>
    <w:p>
      <w:pPr>
        <w:rPr>
          <w:rFonts w:asciiTheme="minorEastAsia" w:hAnsiTheme="minorEastAsia" w:eastAsiaTheme="minorEastAsia"/>
          <w:b/>
          <w:sz w:val="24"/>
        </w:rPr>
      </w:pPr>
      <w:r>
        <w:rPr>
          <w:rFonts w:hint="eastAsia" w:asciiTheme="minorEastAsia" w:hAnsiTheme="minorEastAsia" w:eastAsiaTheme="minorEastAsia"/>
          <w:b/>
          <w:sz w:val="24"/>
        </w:rPr>
        <w:t>报价评分计算说明：</w:t>
      </w:r>
    </w:p>
    <w:p>
      <w:pPr>
        <w:rPr>
          <w:rFonts w:asciiTheme="minorEastAsia" w:hAnsiTheme="minorEastAsia" w:eastAsiaTheme="minorEastAsia"/>
          <w:sz w:val="24"/>
        </w:rPr>
      </w:pPr>
      <w:r>
        <w:rPr>
          <w:rFonts w:hint="eastAsia" w:asciiTheme="minorEastAsia" w:hAnsiTheme="minorEastAsia" w:eastAsiaTheme="minorEastAsia"/>
          <w:sz w:val="24"/>
        </w:rPr>
        <w:t>1、评标基准价的计算：</w:t>
      </w:r>
    </w:p>
    <w:p>
      <w:pPr>
        <w:rPr>
          <w:rFonts w:asciiTheme="minorEastAsia" w:hAnsiTheme="minorEastAsia" w:eastAsiaTheme="minorEastAsia"/>
          <w:sz w:val="24"/>
        </w:rPr>
      </w:pPr>
      <w:r>
        <w:rPr>
          <w:rFonts w:hint="eastAsia" w:asciiTheme="minorEastAsia" w:hAnsiTheme="minorEastAsia" w:eastAsiaTheme="minorEastAsia"/>
          <w:sz w:val="24"/>
        </w:rPr>
        <w:t>（1）评标价的确定：</w:t>
      </w:r>
    </w:p>
    <w:p>
      <w:pPr>
        <w:rPr>
          <w:rFonts w:asciiTheme="minorEastAsia" w:hAnsiTheme="minorEastAsia" w:eastAsiaTheme="minorEastAsia"/>
          <w:sz w:val="24"/>
        </w:rPr>
      </w:pPr>
      <w:r>
        <w:rPr>
          <w:rFonts w:hint="eastAsia" w:asciiTheme="minorEastAsia" w:hAnsiTheme="minorEastAsia" w:eastAsiaTheme="minorEastAsia"/>
          <w:sz w:val="24"/>
        </w:rPr>
        <w:t>方法一：评标价＝投标函文字报价</w:t>
      </w:r>
    </w:p>
    <w:p>
      <w:pPr>
        <w:rPr>
          <w:rFonts w:asciiTheme="minorEastAsia" w:hAnsiTheme="minorEastAsia" w:eastAsiaTheme="minorEastAsia"/>
          <w:sz w:val="24"/>
        </w:rPr>
      </w:pPr>
      <w:r>
        <w:rPr>
          <w:rFonts w:hint="eastAsia" w:asciiTheme="minorEastAsia" w:hAnsiTheme="minorEastAsia" w:eastAsiaTheme="minorEastAsia"/>
          <w:sz w:val="24"/>
        </w:rPr>
        <w:t xml:space="preserve">方法二：评标价＝投标函文字报价－暂估价－暂列金额（不含计日工总额） </w:t>
      </w:r>
    </w:p>
    <w:p>
      <w:pPr>
        <w:rPr>
          <w:rFonts w:asciiTheme="minorEastAsia" w:hAnsiTheme="minorEastAsia" w:eastAsiaTheme="minorEastAsia"/>
          <w:sz w:val="24"/>
        </w:rPr>
      </w:pPr>
      <w:r>
        <w:rPr>
          <w:rFonts w:hint="eastAsia" w:asciiTheme="minorEastAsia" w:hAnsiTheme="minorEastAsia" w:eastAsiaTheme="minorEastAsia"/>
          <w:sz w:val="24"/>
        </w:rPr>
        <w:t>方法三：……</w:t>
      </w:r>
    </w:p>
    <w:p>
      <w:pPr>
        <w:rPr>
          <w:rFonts w:asciiTheme="minorEastAsia" w:hAnsiTheme="minorEastAsia" w:eastAsiaTheme="minorEastAsia"/>
          <w:sz w:val="24"/>
        </w:rPr>
      </w:pPr>
      <w:r>
        <w:rPr>
          <w:rFonts w:hint="eastAsia" w:asciiTheme="minorEastAsia" w:hAnsiTheme="minorEastAsia" w:eastAsiaTheme="minorEastAsia"/>
          <w:sz w:val="24"/>
        </w:rPr>
        <w:t>（2）评标价平均值的计算：</w:t>
      </w:r>
    </w:p>
    <w:p>
      <w:pPr>
        <w:spacing w:line="360" w:lineRule="atLeast"/>
        <w:rPr>
          <w:szCs w:val="21"/>
        </w:rPr>
      </w:pPr>
      <w:r>
        <w:rPr>
          <w:rFonts w:hint="eastAsia"/>
          <w:szCs w:val="21"/>
        </w:rPr>
        <w:t>被废标、否决投标、投标无效或存在以下任一情况，其投标报价将不再参加评标基准价的计算：</w:t>
      </w:r>
    </w:p>
    <w:p>
      <w:pPr>
        <w:rPr>
          <w:rFonts w:asciiTheme="minorEastAsia" w:hAnsiTheme="minorEastAsia" w:eastAsiaTheme="minorEastAsia"/>
          <w:sz w:val="24"/>
        </w:rPr>
      </w:pPr>
      <w:r>
        <w:rPr>
          <w:rFonts w:hint="eastAsia" w:asciiTheme="minorEastAsia" w:hAnsiTheme="minorEastAsia" w:eastAsiaTheme="minorEastAsia"/>
          <w:sz w:val="24"/>
        </w:rPr>
        <w:t>①未在投标函上填写投标总价；</w:t>
      </w:r>
    </w:p>
    <w:p>
      <w:pPr>
        <w:rPr>
          <w:rFonts w:asciiTheme="minorEastAsia" w:hAnsiTheme="minorEastAsia" w:eastAsiaTheme="minorEastAsia"/>
          <w:sz w:val="24"/>
        </w:rPr>
      </w:pPr>
      <w:r>
        <w:rPr>
          <w:rFonts w:hint="eastAsia" w:asciiTheme="minorEastAsia" w:hAnsiTheme="minorEastAsia" w:eastAsiaTheme="minorEastAsia"/>
          <w:sz w:val="24"/>
        </w:rPr>
        <w:t>②投标报价或调价函中的报价超出招标人公布的最高投标限价（如有）；</w:t>
      </w:r>
    </w:p>
    <w:p>
      <w:pPr>
        <w:rPr>
          <w:rFonts w:asciiTheme="minorEastAsia" w:hAnsiTheme="minorEastAsia" w:eastAsiaTheme="minorEastAsia"/>
          <w:sz w:val="24"/>
        </w:rPr>
      </w:pPr>
      <w:r>
        <w:rPr>
          <w:rFonts w:hint="eastAsia" w:asciiTheme="minorEastAsia" w:hAnsiTheme="minorEastAsia" w:eastAsiaTheme="minorEastAsia"/>
          <w:sz w:val="24"/>
        </w:rPr>
        <w:t>③投标报价或调价函中报价的大写金额无法确定具体数值；</w:t>
      </w:r>
    </w:p>
    <w:p>
      <w:pPr>
        <w:rPr>
          <w:rFonts w:asciiTheme="minorEastAsia" w:hAnsiTheme="minorEastAsia" w:eastAsiaTheme="minorEastAsia"/>
          <w:sz w:val="24"/>
        </w:rPr>
      </w:pPr>
      <w:r>
        <w:rPr>
          <w:rFonts w:hint="eastAsia" w:asciiTheme="minorEastAsia" w:hAnsiTheme="minorEastAsia" w:eastAsiaTheme="minorEastAsia"/>
          <w:sz w:val="24"/>
        </w:rPr>
        <w:t>除上述规定开标现场被宣布不进入评标基准价计算的投标报价之外，所有投标人的评标价去掉一个最高值和一个最低值后的算术平均值即为评标价平均值（如果参与评标价平均值计算的有效投标人少于5家时，则计算评标价平均值时不去掉最高值和最低值）；</w:t>
      </w:r>
    </w:p>
    <w:p>
      <w:pPr>
        <w:rPr>
          <w:rFonts w:asciiTheme="minorEastAsia" w:hAnsiTheme="minorEastAsia" w:eastAsiaTheme="minorEastAsia"/>
          <w:sz w:val="24"/>
        </w:rPr>
      </w:pPr>
      <w:r>
        <w:rPr>
          <w:rFonts w:hint="eastAsia" w:asciiTheme="minorEastAsia" w:hAnsiTheme="minorEastAsia" w:eastAsiaTheme="minorEastAsia"/>
          <w:sz w:val="24"/>
        </w:rPr>
        <w:t>（3）评标基准价的确定 ：</w:t>
      </w:r>
    </w:p>
    <w:p>
      <w:pPr>
        <w:rPr>
          <w:rFonts w:asciiTheme="minorEastAsia" w:hAnsiTheme="minorEastAsia" w:eastAsiaTheme="minorEastAsia"/>
          <w:sz w:val="24"/>
        </w:rPr>
      </w:pPr>
      <w:r>
        <w:rPr>
          <w:rFonts w:hint="eastAsia" w:asciiTheme="minorEastAsia" w:hAnsiTheme="minorEastAsia" w:eastAsiaTheme="minorEastAsia"/>
          <w:sz w:val="24"/>
        </w:rPr>
        <w:t>方法一：将评标价平均值直接作为评标基准价。</w:t>
      </w:r>
    </w:p>
    <w:p>
      <w:pPr>
        <w:rPr>
          <w:rFonts w:asciiTheme="minorEastAsia" w:hAnsiTheme="minorEastAsia" w:eastAsiaTheme="minorEastAsia"/>
          <w:sz w:val="24"/>
        </w:rPr>
      </w:pPr>
      <w:r>
        <w:rPr>
          <w:rFonts w:hint="eastAsia" w:asciiTheme="minorEastAsia" w:hAnsiTheme="minorEastAsia" w:eastAsiaTheme="minorEastAsia"/>
          <w:sz w:val="24"/>
        </w:rPr>
        <w:t>方法二：将评标价平均值下浮</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，作为评标基准价。</w:t>
      </w:r>
    </w:p>
    <w:p>
      <w:pPr>
        <w:rPr>
          <w:rFonts w:asciiTheme="minorEastAsia" w:hAnsiTheme="minorEastAsia" w:eastAsiaTheme="minorEastAsia"/>
          <w:sz w:val="24"/>
        </w:rPr>
      </w:pPr>
      <w:r>
        <w:rPr>
          <w:rFonts w:hint="eastAsia" w:asciiTheme="minorEastAsia" w:hAnsiTheme="minorEastAsia" w:eastAsiaTheme="minorEastAsia"/>
          <w:sz w:val="24"/>
        </w:rPr>
        <w:t>方法三：招标人设置评标基准价系数，由投标人代表现场抽取，评标价平均值乘以现场抽取的评标基准价系数作为评标基准价。</w:t>
      </w:r>
    </w:p>
    <w:p>
      <w:pPr>
        <w:rPr>
          <w:rFonts w:asciiTheme="minorEastAsia" w:hAnsiTheme="minorEastAsia" w:eastAsiaTheme="minorEastAsia"/>
          <w:sz w:val="24"/>
        </w:rPr>
      </w:pPr>
      <w:r>
        <w:rPr>
          <w:rFonts w:hint="eastAsia" w:asciiTheme="minorEastAsia" w:hAnsiTheme="minorEastAsia" w:eastAsiaTheme="minorEastAsia"/>
          <w:sz w:val="24"/>
        </w:rPr>
        <w:t>方法四：……</w:t>
      </w:r>
    </w:p>
    <w:p>
      <w:pPr>
        <w:rPr>
          <w:rFonts w:asciiTheme="minorEastAsia" w:hAnsiTheme="minorEastAsia" w:eastAsiaTheme="minorEastAsia"/>
          <w:sz w:val="24"/>
        </w:rPr>
      </w:pPr>
      <w:r>
        <w:rPr>
          <w:rFonts w:hint="eastAsia" w:asciiTheme="minorEastAsia" w:hAnsiTheme="minorEastAsia" w:eastAsiaTheme="minorEastAsia"/>
          <w:sz w:val="24"/>
        </w:rPr>
        <w:t>除评标基准价计算错误以外,在整个评标期间保持不变，不随任何因素发生变化。</w:t>
      </w:r>
    </w:p>
    <w:p>
      <w:pPr>
        <w:rPr>
          <w:rFonts w:asciiTheme="minorEastAsia" w:hAnsiTheme="minorEastAsia" w:eastAsiaTheme="minorEastAsia"/>
          <w:color w:val="FF0000"/>
          <w:sz w:val="24"/>
        </w:rPr>
      </w:pPr>
      <w:r>
        <w:rPr>
          <w:rFonts w:hint="eastAsia" w:asciiTheme="minorEastAsia" w:hAnsiTheme="minorEastAsia" w:eastAsiaTheme="minorEastAsia"/>
          <w:color w:val="FF0000"/>
          <w:sz w:val="24"/>
        </w:rPr>
        <w:t>注：招标人可依据招标项目特点和实际需要，选择或制定适合项目的评标基准价计算方法。与评标基准价计算或评标价得分计算相关的所有系数（如有），其具体数值或随机抽取的数值区间均应在评标办法中予以明确。</w:t>
      </w:r>
    </w:p>
    <w:p>
      <w:pPr>
        <w:rPr>
          <w:rFonts w:asciiTheme="minorEastAsia" w:hAnsiTheme="minorEastAsia" w:eastAsiaTheme="minorEastAsia"/>
          <w:sz w:val="24"/>
        </w:rPr>
      </w:pPr>
      <w:r>
        <w:rPr>
          <w:rFonts w:hint="eastAsia" w:asciiTheme="minorEastAsia" w:hAnsiTheme="minorEastAsia" w:eastAsiaTheme="minorEastAsia"/>
          <w:sz w:val="24"/>
        </w:rPr>
        <w:t>2、评标价的偏差率计算公式：偏差率=100% ×（投标人评标价－评标基准价）/评标基准价</w:t>
      </w:r>
    </w:p>
    <w:p>
      <w:pPr>
        <w:rPr>
          <w:rFonts w:asciiTheme="minorEastAsia" w:hAnsiTheme="minorEastAsia" w:eastAsiaTheme="minorEastAsia"/>
          <w:sz w:val="24"/>
        </w:rPr>
      </w:pPr>
      <w:r>
        <w:rPr>
          <w:rFonts w:hint="eastAsia" w:asciiTheme="minorEastAsia" w:hAnsiTheme="minorEastAsia" w:eastAsiaTheme="minorEastAsia"/>
          <w:sz w:val="24"/>
        </w:rPr>
        <w:t>偏差率保留</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位小数</w:t>
      </w:r>
      <w:r>
        <w:rPr>
          <w:rFonts w:hint="eastAsia"/>
          <w:szCs w:val="21"/>
        </w:rPr>
        <w:t>，小数点后第</w:t>
      </w:r>
      <w:r>
        <w:rPr>
          <w:rFonts w:hint="eastAsia"/>
          <w:szCs w:val="21"/>
          <w:u w:val="single"/>
        </w:rPr>
        <w:t xml:space="preserve">    </w:t>
      </w:r>
      <w:r>
        <w:rPr>
          <w:rFonts w:hint="eastAsia"/>
          <w:szCs w:val="21"/>
        </w:rPr>
        <w:t>位“四舍五入”</w:t>
      </w:r>
      <w:r>
        <w:rPr>
          <w:rFonts w:hint="eastAsia" w:asciiTheme="minorEastAsia" w:hAnsiTheme="minorEastAsia" w:eastAsiaTheme="minorEastAsia"/>
          <w:sz w:val="24"/>
        </w:rPr>
        <w:t>。</w:t>
      </w:r>
    </w:p>
    <w:p>
      <w:pPr>
        <w:rPr>
          <w:rFonts w:asciiTheme="minorEastAsia" w:hAnsiTheme="minorEastAsia" w:eastAsiaTheme="minorEastAsia"/>
          <w:sz w:val="24"/>
        </w:rPr>
      </w:pPr>
      <w:r>
        <w:rPr>
          <w:rFonts w:hint="eastAsia" w:asciiTheme="minorEastAsia" w:hAnsiTheme="minorEastAsia" w:eastAsiaTheme="minorEastAsia"/>
          <w:sz w:val="24"/>
        </w:rPr>
        <w:t>3、投标人报价评分分值计算保留小数点后两位，小数点后第三位“四舍五入”。</w:t>
      </w:r>
    </w:p>
    <w:p>
      <w:pPr>
        <w:ind w:firstLine="480" w:firstLineChars="200"/>
        <w:rPr>
          <w:rFonts w:ascii="黑体" w:hAnsi="宋体" w:eastAsia="黑体"/>
          <w:sz w:val="24"/>
        </w:rPr>
      </w:pPr>
      <w:r>
        <w:rPr>
          <w:rFonts w:hint="eastAsia" w:ascii="黑体" w:hAnsi="宋体" w:eastAsia="黑体"/>
          <w:sz w:val="24"/>
        </w:rPr>
        <w:t>按投标人报价得分从高到低依次确定中标候选人排序，并推荐1至3名中标候选人。若投标人报价得分相同，则评标委员会依次按照以下优先顺序推荐中标候选人或确定中标人：</w:t>
      </w:r>
    </w:p>
    <w:p>
      <w:pPr>
        <w:ind w:firstLine="480" w:firstLineChars="200"/>
        <w:rPr>
          <w:rFonts w:ascii="黑体" w:hAnsi="宋体" w:eastAsia="黑体"/>
          <w:sz w:val="24"/>
        </w:rPr>
      </w:pPr>
      <w:r>
        <w:rPr>
          <w:rFonts w:hint="eastAsia" w:ascii="黑体" w:hAnsi="宋体" w:eastAsia="黑体"/>
          <w:sz w:val="24"/>
        </w:rPr>
        <w:t>①评标价低的投标人优先；</w:t>
      </w:r>
    </w:p>
    <w:p>
      <w:pPr>
        <w:ind w:firstLine="480" w:firstLineChars="200"/>
        <w:rPr>
          <w:rFonts w:ascii="黑体" w:hAnsi="宋体" w:eastAsia="黑体"/>
          <w:sz w:val="24"/>
        </w:rPr>
      </w:pPr>
      <w:r>
        <w:rPr>
          <w:rFonts w:hint="eastAsia" w:ascii="黑体" w:hAnsi="宋体" w:eastAsia="黑体"/>
          <w:sz w:val="24"/>
        </w:rPr>
        <w:t>②被招标项目所在地省级交通运输主管部门评为较高信用等级的投标人优先；</w:t>
      </w:r>
    </w:p>
    <w:p>
      <w:pPr>
        <w:ind w:firstLine="480" w:firstLineChars="200"/>
        <w:rPr>
          <w:rFonts w:ascii="黑体" w:hAnsi="宋体" w:eastAsia="黑体"/>
          <w:sz w:val="24"/>
        </w:rPr>
      </w:pPr>
      <w:r>
        <w:rPr>
          <w:rFonts w:hint="eastAsia" w:ascii="黑体" w:hAnsi="宋体" w:eastAsia="黑体"/>
          <w:sz w:val="24"/>
        </w:rPr>
        <w:t>③……</w:t>
      </w:r>
    </w:p>
    <w:p>
      <w:pPr>
        <w:ind w:firstLine="480" w:firstLineChars="200"/>
        <w:rPr>
          <w:rFonts w:ascii="黑体" w:hAnsi="宋体" w:eastAsia="黑体"/>
          <w:sz w:val="24"/>
        </w:rPr>
      </w:pPr>
      <w:r>
        <w:rPr>
          <w:rFonts w:hint="eastAsia" w:ascii="黑体" w:hAnsi="宋体" w:eastAsia="黑体"/>
          <w:sz w:val="24"/>
        </w:rPr>
        <w:t>按上述规则不能确定中标人的，</w:t>
      </w:r>
      <w:r>
        <w:rPr>
          <w:rFonts w:ascii="黑体" w:hAnsi="宋体" w:eastAsia="黑体"/>
          <w:sz w:val="24"/>
        </w:rPr>
        <w:t>由招标人代表现场随机确定中标候选人排序</w:t>
      </w:r>
      <w:r>
        <w:rPr>
          <w:rFonts w:hint="eastAsia" w:ascii="黑体" w:hAnsi="宋体" w:eastAsia="黑体"/>
          <w:sz w:val="24"/>
        </w:rPr>
        <w:t>。</w:t>
      </w:r>
    </w:p>
    <w:p>
      <w:pPr>
        <w:ind w:firstLine="480" w:firstLineChars="200"/>
        <w:rPr>
          <w:rFonts w:ascii="黑体" w:hAnsi="宋体" w:eastAsia="黑体"/>
          <w:bCs/>
          <w:sz w:val="24"/>
        </w:rPr>
      </w:pPr>
      <w:r>
        <w:rPr>
          <w:rFonts w:hint="eastAsia" w:ascii="黑体" w:hAnsi="宋体" w:eastAsia="黑体"/>
          <w:bCs/>
          <w:sz w:val="24"/>
        </w:rPr>
        <w:t>投标文件中有含义不明确的内容、明显文字或者计算错误，评标委员会认为需要投标人作出必要澄清、说明的，评标委员会应主动向投标人询标，并对询标的内容填表记录。投标人的澄清、说明应当采用招标文件规定的形式，并不得超出投标文件的范围或者改变投标文件的实质性内容。评标委员会不得暗示或者诱导投标人作出澄清、说明，不得接受投标人主动提出的澄清、说明。</w:t>
      </w:r>
    </w:p>
    <w:p>
      <w:pPr>
        <w:ind w:firstLine="480" w:firstLineChars="200"/>
        <w:rPr>
          <w:rFonts w:ascii="黑体" w:hAnsi="宋体" w:eastAsia="黑体"/>
          <w:sz w:val="24"/>
        </w:rPr>
      </w:pPr>
      <w:r>
        <w:rPr>
          <w:rFonts w:hint="eastAsia" w:ascii="黑体" w:hAnsi="宋体" w:eastAsia="黑体"/>
          <w:bCs/>
          <w:sz w:val="24"/>
        </w:rPr>
        <w:t>评委会在评标过程中发现的问题，应当及时作出处理或者向招标人提出处理建议，并作书面记录。</w:t>
      </w: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黑体" w:hAnsi="宋体" w:eastAsia="黑体"/>
          <w:color w:val="FF0000"/>
          <w:sz w:val="24"/>
        </w:rPr>
      </w:pPr>
      <w:r>
        <w:rPr>
          <w:rFonts w:hint="eastAsia" w:hAnsi="宋体"/>
          <w:b/>
          <w:sz w:val="30"/>
          <w:szCs w:val="30"/>
        </w:rPr>
        <w:t>评标办法：</w:t>
      </w:r>
      <w:r>
        <w:rPr>
          <w:rFonts w:hint="eastAsia" w:ascii="黑体" w:hAnsi="宋体" w:eastAsia="黑体"/>
          <w:color w:val="FF0000"/>
          <w:sz w:val="24"/>
        </w:rPr>
        <w:t>本项目采用</w:t>
      </w:r>
      <w:r>
        <w:rPr>
          <w:rFonts w:hint="eastAsia" w:ascii="黑体" w:hAnsi="宋体" w:eastAsia="黑体"/>
          <w:color w:val="FF0000"/>
          <w:sz w:val="24"/>
          <w:u w:val="double"/>
        </w:rPr>
        <w:t>“技术评分最低标价法”</w:t>
      </w:r>
      <w:r>
        <w:rPr>
          <w:rFonts w:hint="eastAsia" w:ascii="黑体" w:hAnsi="宋体" w:eastAsia="黑体"/>
          <w:color w:val="FF0000"/>
          <w:sz w:val="24"/>
        </w:rPr>
        <w:t>。</w:t>
      </w:r>
    </w:p>
    <w:p>
      <w:pPr>
        <w:ind w:firstLine="480" w:firstLineChars="200"/>
        <w:rPr>
          <w:rFonts w:ascii="仿宋_GB2312" w:hAnsi="宋体" w:eastAsia="仿宋_GB2312"/>
          <w:color w:val="000000"/>
          <w:sz w:val="24"/>
        </w:rPr>
      </w:pPr>
      <w:r>
        <w:rPr>
          <w:rFonts w:hint="eastAsia" w:ascii="仿宋_GB2312" w:hAnsi="宋体" w:eastAsia="仿宋_GB2312"/>
          <w:color w:val="000000"/>
          <w:sz w:val="24"/>
        </w:rPr>
        <w:t>本次评标采用“技术评分最低标价法”。即评标委员会遵循规定的评标原则，首先对投标人资格和技术标进行评审。评委会在对投标人资格评审时，应结合投标文件技术标一并进行。对资格评审通过的投标人进行技术标评审和打分。</w:t>
      </w:r>
    </w:p>
    <w:p>
      <w:pPr>
        <w:ind w:firstLine="480" w:firstLineChars="200"/>
        <w:rPr>
          <w:rFonts w:ascii="仿宋_GB2312" w:hAnsi="宋体" w:eastAsia="仿宋_GB2312"/>
          <w:color w:val="000000"/>
          <w:sz w:val="24"/>
        </w:rPr>
      </w:pPr>
      <w:r>
        <w:rPr>
          <w:rFonts w:hint="eastAsia" w:ascii="仿宋_GB2312" w:hAnsi="宋体" w:eastAsia="仿宋_GB2312"/>
          <w:color w:val="000000"/>
          <w:sz w:val="24"/>
        </w:rPr>
        <w:t>对通过技术标初审和技术标详细评审的投标人进行技术资信评分：</w:t>
      </w:r>
    </w:p>
    <w:p>
      <w:pPr>
        <w:jc w:val="center"/>
        <w:rPr>
          <w:rFonts w:ascii="仿宋_GB2312" w:hAnsi="宋体" w:eastAsia="仿宋_GB2312"/>
          <w:color w:val="000000"/>
          <w:sz w:val="24"/>
        </w:rPr>
      </w:pPr>
      <w:r>
        <w:rPr>
          <w:rFonts w:hint="eastAsia" w:ascii="仿宋_GB2312" w:eastAsia="仿宋_GB2312"/>
          <w:b/>
          <w:sz w:val="36"/>
        </w:rPr>
        <w:t>技术资信</w:t>
      </w:r>
      <w:r>
        <w:rPr>
          <w:rFonts w:hint="eastAsia" w:ascii="仿宋_GB2312" w:hAnsi="宋体" w:eastAsia="仿宋_GB2312"/>
          <w:b/>
          <w:kern w:val="0"/>
          <w:sz w:val="36"/>
        </w:rPr>
        <w:t>评分表</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5"/>
        <w:gridCol w:w="503"/>
        <w:gridCol w:w="1017"/>
        <w:gridCol w:w="1100"/>
        <w:gridCol w:w="3508"/>
        <w:gridCol w:w="85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337" w:type="pct"/>
            <w:gridSpan w:val="6"/>
            <w:tcBorders>
              <w:top w:val="single" w:color="auto" w:sz="4" w:space="0"/>
            </w:tcBorders>
          </w:tcPr>
          <w:p>
            <w:pPr>
              <w:spacing w:line="380" w:lineRule="atLeast"/>
              <w:ind w:left="-105" w:leftChars="-50" w:right="-105" w:rightChars="-50"/>
              <w:jc w:val="center"/>
              <w:rPr>
                <w:b/>
                <w:color w:val="FF0000"/>
                <w:szCs w:val="21"/>
              </w:rPr>
            </w:pPr>
            <w:r>
              <w:rPr>
                <w:rFonts w:ascii="宋体" w:hAnsi="宋体"/>
                <w:b/>
                <w:szCs w:val="21"/>
              </w:rPr>
              <w:t>评分因素与权重分值</w:t>
            </w:r>
          </w:p>
        </w:tc>
        <w:tc>
          <w:tcPr>
            <w:tcW w:w="663" w:type="pct"/>
            <w:vMerge w:val="restart"/>
            <w:tcBorders>
              <w:top w:val="single" w:color="auto" w:sz="4" w:space="0"/>
            </w:tcBorders>
            <w:vAlign w:val="center"/>
          </w:tcPr>
          <w:p>
            <w:pPr>
              <w:spacing w:line="380" w:lineRule="atLeast"/>
              <w:jc w:val="center"/>
              <w:rPr>
                <w:b/>
                <w:szCs w:val="21"/>
              </w:rPr>
            </w:pPr>
            <w:r>
              <w:rPr>
                <w:b/>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94" w:type="pct"/>
            <w:vAlign w:val="center"/>
          </w:tcPr>
          <w:p>
            <w:pPr>
              <w:spacing w:line="380" w:lineRule="atLeast"/>
              <w:jc w:val="center"/>
              <w:rPr>
                <w:rFonts w:ascii="宋体" w:hAnsi="宋体"/>
                <w:b/>
                <w:szCs w:val="21"/>
              </w:rPr>
            </w:pPr>
            <w:r>
              <w:rPr>
                <w:rFonts w:hint="eastAsia" w:ascii="宋体" w:hAnsi="宋体"/>
                <w:b/>
                <w:szCs w:val="21"/>
              </w:rPr>
              <w:t>序号</w:t>
            </w:r>
          </w:p>
        </w:tc>
        <w:tc>
          <w:tcPr>
            <w:tcW w:w="771" w:type="pct"/>
            <w:gridSpan w:val="2"/>
            <w:vAlign w:val="center"/>
          </w:tcPr>
          <w:p>
            <w:pPr>
              <w:spacing w:line="380" w:lineRule="atLeast"/>
              <w:jc w:val="center"/>
              <w:rPr>
                <w:rFonts w:ascii="宋体" w:hAnsi="宋体"/>
                <w:b/>
                <w:szCs w:val="21"/>
              </w:rPr>
            </w:pPr>
            <w:r>
              <w:rPr>
                <w:rFonts w:ascii="宋体" w:hAnsi="宋体"/>
                <w:b/>
                <w:szCs w:val="21"/>
              </w:rPr>
              <w:t>评分因素</w:t>
            </w:r>
          </w:p>
        </w:tc>
        <w:tc>
          <w:tcPr>
            <w:tcW w:w="558" w:type="pct"/>
            <w:vAlign w:val="center"/>
          </w:tcPr>
          <w:p>
            <w:pPr>
              <w:spacing w:line="380" w:lineRule="atLeast"/>
              <w:ind w:left="-105" w:leftChars="-50" w:right="-105" w:rightChars="-50"/>
              <w:jc w:val="center"/>
              <w:rPr>
                <w:rFonts w:ascii="宋体" w:hAnsi="宋体"/>
                <w:b/>
                <w:szCs w:val="21"/>
              </w:rPr>
            </w:pPr>
            <w:r>
              <w:rPr>
                <w:rFonts w:ascii="宋体" w:hAnsi="宋体"/>
                <w:b/>
                <w:szCs w:val="21"/>
              </w:rPr>
              <w:t>评分因素权重分值</w:t>
            </w:r>
          </w:p>
        </w:tc>
        <w:tc>
          <w:tcPr>
            <w:tcW w:w="1780" w:type="pct"/>
            <w:vAlign w:val="center"/>
          </w:tcPr>
          <w:p>
            <w:pPr>
              <w:spacing w:line="380" w:lineRule="atLeast"/>
              <w:jc w:val="center"/>
              <w:rPr>
                <w:rFonts w:ascii="宋体" w:hAnsi="宋体"/>
                <w:b/>
                <w:szCs w:val="21"/>
              </w:rPr>
            </w:pPr>
            <w:r>
              <w:rPr>
                <w:rFonts w:ascii="宋体" w:hAnsi="宋体"/>
                <w:b/>
                <w:szCs w:val="21"/>
              </w:rPr>
              <w:t>各评分因素细分项</w:t>
            </w:r>
          </w:p>
        </w:tc>
        <w:tc>
          <w:tcPr>
            <w:tcW w:w="434" w:type="pct"/>
            <w:vAlign w:val="center"/>
          </w:tcPr>
          <w:p>
            <w:pPr>
              <w:spacing w:line="380" w:lineRule="atLeast"/>
              <w:jc w:val="right"/>
              <w:rPr>
                <w:rFonts w:ascii="宋体" w:hAnsi="宋体"/>
                <w:b/>
                <w:szCs w:val="21"/>
              </w:rPr>
            </w:pPr>
            <w:r>
              <w:rPr>
                <w:rFonts w:ascii="宋体" w:hAnsi="宋体"/>
                <w:b/>
                <w:szCs w:val="21"/>
              </w:rPr>
              <w:t>分值</w:t>
            </w:r>
          </w:p>
        </w:tc>
        <w:tc>
          <w:tcPr>
            <w:tcW w:w="663" w:type="pct"/>
            <w:vMerge w:val="continue"/>
          </w:tcPr>
          <w:p>
            <w:pPr>
              <w:spacing w:line="380" w:lineRule="atLeas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restart"/>
            <w:vAlign w:val="center"/>
          </w:tcPr>
          <w:p>
            <w:pPr>
              <w:spacing w:line="380" w:lineRule="atLeast"/>
              <w:jc w:val="center"/>
              <w:rPr>
                <w:szCs w:val="21"/>
              </w:rPr>
            </w:pPr>
            <w:r>
              <w:rPr>
                <w:rFonts w:hint="eastAsia"/>
                <w:szCs w:val="21"/>
              </w:rPr>
              <w:t>1</w:t>
            </w:r>
          </w:p>
        </w:tc>
        <w:tc>
          <w:tcPr>
            <w:tcW w:w="771" w:type="pct"/>
            <w:gridSpan w:val="2"/>
            <w:vMerge w:val="restart"/>
            <w:vAlign w:val="center"/>
          </w:tcPr>
          <w:p>
            <w:pPr>
              <w:spacing w:line="380" w:lineRule="atLeast"/>
              <w:jc w:val="center"/>
              <w:rPr>
                <w:szCs w:val="21"/>
              </w:rPr>
            </w:pPr>
            <w:r>
              <w:rPr>
                <w:szCs w:val="21"/>
              </w:rPr>
              <w:t>施工组织设计</w:t>
            </w:r>
          </w:p>
        </w:tc>
        <w:tc>
          <w:tcPr>
            <w:tcW w:w="558" w:type="pct"/>
            <w:vMerge w:val="restart"/>
            <w:vAlign w:val="center"/>
          </w:tcPr>
          <w:p>
            <w:pPr>
              <w:wordWrap w:val="0"/>
              <w:spacing w:line="380" w:lineRule="atLeast"/>
              <w:jc w:val="right"/>
              <w:rPr>
                <w:szCs w:val="21"/>
                <w:u w:val="single"/>
              </w:rPr>
            </w:pPr>
            <w:r>
              <w:rPr>
                <w:rFonts w:hint="eastAsia"/>
                <w:szCs w:val="21"/>
                <w:u w:val="single"/>
              </w:rPr>
              <w:t xml:space="preserve">   </w:t>
            </w:r>
            <w:r>
              <w:rPr>
                <w:szCs w:val="21"/>
              </w:rPr>
              <w:t>分</w:t>
            </w:r>
          </w:p>
        </w:tc>
        <w:tc>
          <w:tcPr>
            <w:tcW w:w="1780" w:type="pct"/>
            <w:vAlign w:val="center"/>
          </w:tcPr>
          <w:p>
            <w:pPr>
              <w:spacing w:line="380" w:lineRule="atLeast"/>
              <w:ind w:firstLine="184" w:firstLineChars="88"/>
              <w:rPr>
                <w:szCs w:val="21"/>
              </w:rPr>
            </w:pPr>
            <w:r>
              <w:rPr>
                <w:rFonts w:hint="eastAsia"/>
                <w:szCs w:val="21"/>
              </w:rPr>
              <w:t>关键</w:t>
            </w:r>
            <w:r>
              <w:rPr>
                <w:szCs w:val="21"/>
              </w:rPr>
              <w:t>工程的施工方案、方法与技术措施</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vAlign w:val="center"/>
          </w:tcPr>
          <w:p>
            <w:pPr>
              <w:spacing w:line="380" w:lineRule="atLeas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rFonts w:eastAsia="隶书"/>
                <w:b/>
                <w:szCs w:val="21"/>
              </w:rPr>
            </w:pPr>
          </w:p>
        </w:tc>
        <w:tc>
          <w:tcPr>
            <w:tcW w:w="1780" w:type="pct"/>
          </w:tcPr>
          <w:p>
            <w:pPr>
              <w:spacing w:line="380" w:lineRule="atLeast"/>
              <w:ind w:firstLine="186" w:firstLineChars="89"/>
              <w:rPr>
                <w:szCs w:val="21"/>
              </w:rPr>
            </w:pPr>
            <w:r>
              <w:rPr>
                <w:szCs w:val="21"/>
              </w:rPr>
              <w:t>……</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vAlign w:val="center"/>
          </w:tcPr>
          <w:p>
            <w:pPr>
              <w:spacing w:line="380" w:lineRule="atLeast"/>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restart"/>
            <w:vAlign w:val="center"/>
          </w:tcPr>
          <w:p>
            <w:pPr>
              <w:spacing w:line="360" w:lineRule="atLeast"/>
              <w:ind w:left="-92" w:leftChars="-44" w:right="-88" w:rightChars="-42"/>
              <w:jc w:val="center"/>
              <w:rPr>
                <w:szCs w:val="21"/>
              </w:rPr>
            </w:pPr>
            <w:r>
              <w:rPr>
                <w:rFonts w:hint="eastAsia"/>
                <w:szCs w:val="21"/>
              </w:rPr>
              <w:t>2</w:t>
            </w:r>
          </w:p>
        </w:tc>
        <w:tc>
          <w:tcPr>
            <w:tcW w:w="771" w:type="pct"/>
            <w:gridSpan w:val="2"/>
            <w:vMerge w:val="restart"/>
            <w:vAlign w:val="center"/>
          </w:tcPr>
          <w:p>
            <w:pPr>
              <w:spacing w:line="360" w:lineRule="atLeast"/>
              <w:jc w:val="center"/>
              <w:rPr>
                <w:szCs w:val="21"/>
              </w:rPr>
            </w:pPr>
            <w:r>
              <w:rPr>
                <w:szCs w:val="21"/>
              </w:rPr>
              <w:t>主要人员</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vAlign w:val="center"/>
          </w:tcPr>
          <w:p>
            <w:pPr>
              <w:spacing w:line="380" w:lineRule="atLeast"/>
              <w:ind w:firstLine="186" w:firstLineChars="89"/>
              <w:rPr>
                <w:rFonts w:ascii="宋体" w:hAnsi="宋体"/>
                <w:szCs w:val="21"/>
              </w:rPr>
            </w:pPr>
            <w:r>
              <w:rPr>
                <w:rFonts w:ascii="宋体" w:hAnsi="宋体"/>
                <w:szCs w:val="21"/>
              </w:rPr>
              <w:t>项目经理任职资格与业绩</w:t>
            </w:r>
          </w:p>
        </w:tc>
        <w:tc>
          <w:tcPr>
            <w:tcW w:w="434" w:type="pct"/>
            <w:vAlign w:val="center"/>
          </w:tcPr>
          <w:p>
            <w:pPr>
              <w:wordWrap w:val="0"/>
              <w:spacing w:line="380" w:lineRule="atLeast"/>
              <w:jc w:val="right"/>
              <w:rPr>
                <w:rFonts w:ascii="宋体" w:hAnsi="宋体"/>
                <w:szCs w:val="21"/>
              </w:rPr>
            </w:pPr>
            <w:r>
              <w:rPr>
                <w:rFonts w:hint="eastAsia" w:ascii="宋体" w:hAnsi="宋体"/>
                <w:szCs w:val="21"/>
                <w:u w:val="single"/>
              </w:rPr>
              <w:t xml:space="preserve">   </w:t>
            </w:r>
            <w:r>
              <w:rPr>
                <w:rFonts w:ascii="宋体" w:hAnsi="宋体"/>
                <w:szCs w:val="21"/>
              </w:rPr>
              <w:t>分</w:t>
            </w:r>
          </w:p>
        </w:tc>
        <w:tc>
          <w:tcPr>
            <w:tcW w:w="663" w:type="pct"/>
            <w:vAlign w:val="center"/>
          </w:tcPr>
          <w:p>
            <w:pPr>
              <w:spacing w:line="380" w:lineRule="atLeast"/>
              <w:rPr>
                <w:rFonts w:ascii="宋体" w:hAnsi="宋体"/>
                <w:szCs w:val="21"/>
              </w:rPr>
            </w:pP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rFonts w:eastAsia="隶书"/>
                <w:b/>
                <w:szCs w:val="21"/>
              </w:rPr>
            </w:pPr>
          </w:p>
        </w:tc>
        <w:tc>
          <w:tcPr>
            <w:tcW w:w="1780" w:type="pct"/>
            <w:vAlign w:val="center"/>
          </w:tcPr>
          <w:p>
            <w:pPr>
              <w:spacing w:line="380" w:lineRule="atLeast"/>
              <w:ind w:firstLine="186" w:firstLineChars="89"/>
              <w:rPr>
                <w:rFonts w:ascii="宋体" w:hAnsi="宋体"/>
                <w:szCs w:val="21"/>
              </w:rPr>
            </w:pPr>
            <w:r>
              <w:rPr>
                <w:rFonts w:ascii="宋体" w:hAnsi="宋体"/>
                <w:szCs w:val="21"/>
              </w:rPr>
              <w:t>项目总工任职资格与业绩</w:t>
            </w:r>
          </w:p>
        </w:tc>
        <w:tc>
          <w:tcPr>
            <w:tcW w:w="434" w:type="pct"/>
            <w:vAlign w:val="center"/>
          </w:tcPr>
          <w:p>
            <w:pPr>
              <w:wordWrap w:val="0"/>
              <w:spacing w:line="380" w:lineRule="atLeast"/>
              <w:jc w:val="right"/>
              <w:rPr>
                <w:rFonts w:ascii="宋体" w:hAnsi="宋体"/>
                <w:szCs w:val="21"/>
              </w:rPr>
            </w:pPr>
            <w:r>
              <w:rPr>
                <w:rFonts w:hint="eastAsia" w:ascii="宋体" w:hAnsi="宋体"/>
                <w:szCs w:val="21"/>
                <w:u w:val="single"/>
              </w:rPr>
              <w:t xml:space="preserve">   </w:t>
            </w:r>
            <w:r>
              <w:rPr>
                <w:rFonts w:ascii="宋体" w:hAnsi="宋体"/>
                <w:szCs w:val="21"/>
              </w:rPr>
              <w:t>分</w:t>
            </w:r>
          </w:p>
        </w:tc>
        <w:tc>
          <w:tcPr>
            <w:tcW w:w="663" w:type="pct"/>
            <w:vAlign w:val="center"/>
          </w:tcPr>
          <w:p>
            <w:pPr>
              <w:spacing w:line="380" w:lineRule="atLeast"/>
              <w:rPr>
                <w:rFonts w:ascii="宋体" w:hAnsi="宋体"/>
                <w:szCs w:val="21"/>
              </w:rPr>
            </w:pP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rFonts w:eastAsia="隶书"/>
                <w:b/>
                <w:szCs w:val="21"/>
              </w:rPr>
            </w:pPr>
          </w:p>
        </w:tc>
        <w:tc>
          <w:tcPr>
            <w:tcW w:w="1780" w:type="pct"/>
            <w:vAlign w:val="center"/>
          </w:tcPr>
          <w:p>
            <w:pPr>
              <w:spacing w:line="380" w:lineRule="atLeast"/>
              <w:ind w:firstLine="186" w:firstLineChars="89"/>
              <w:rPr>
                <w:rFonts w:ascii="宋体" w:hAnsi="宋体"/>
                <w:szCs w:val="21"/>
              </w:rPr>
            </w:pPr>
            <w:r>
              <w:rPr>
                <w:rFonts w:ascii="宋体" w:hAnsi="宋体"/>
                <w:szCs w:val="21"/>
              </w:rPr>
              <w:t>……</w:t>
            </w:r>
          </w:p>
        </w:tc>
        <w:tc>
          <w:tcPr>
            <w:tcW w:w="434" w:type="pct"/>
            <w:vAlign w:val="center"/>
          </w:tcPr>
          <w:p>
            <w:pPr>
              <w:wordWrap w:val="0"/>
              <w:spacing w:line="380" w:lineRule="atLeast"/>
              <w:jc w:val="right"/>
              <w:rPr>
                <w:rFonts w:ascii="宋体" w:hAnsi="宋体"/>
                <w:szCs w:val="21"/>
                <w:u w:val="single"/>
              </w:rPr>
            </w:pPr>
            <w:r>
              <w:rPr>
                <w:rFonts w:hint="eastAsia" w:ascii="宋体" w:hAnsi="宋体"/>
                <w:szCs w:val="21"/>
                <w:u w:val="single"/>
              </w:rPr>
              <w:t xml:space="preserve">   </w:t>
            </w:r>
            <w:r>
              <w:rPr>
                <w:rFonts w:ascii="宋体" w:hAnsi="宋体"/>
                <w:szCs w:val="21"/>
              </w:rPr>
              <w:t>分</w:t>
            </w:r>
          </w:p>
        </w:tc>
        <w:tc>
          <w:tcPr>
            <w:tcW w:w="663" w:type="pct"/>
            <w:vAlign w:val="center"/>
          </w:tcPr>
          <w:p>
            <w:pPr>
              <w:spacing w:line="380" w:lineRule="atLeast"/>
              <w:rPr>
                <w:rFonts w:ascii="宋体" w:hAnsi="宋体"/>
                <w:szCs w:val="21"/>
              </w:rPr>
            </w:pP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restart"/>
            <w:vAlign w:val="center"/>
          </w:tcPr>
          <w:p>
            <w:pPr>
              <w:spacing w:line="380" w:lineRule="atLeast"/>
              <w:jc w:val="center"/>
              <w:rPr>
                <w:szCs w:val="21"/>
              </w:rPr>
            </w:pPr>
            <w:r>
              <w:rPr>
                <w:rFonts w:hint="eastAsia"/>
                <w:szCs w:val="21"/>
              </w:rPr>
              <w:t>3</w:t>
            </w:r>
          </w:p>
        </w:tc>
        <w:tc>
          <w:tcPr>
            <w:tcW w:w="255" w:type="pct"/>
            <w:vMerge w:val="restart"/>
            <w:vAlign w:val="center"/>
          </w:tcPr>
          <w:p>
            <w:pPr>
              <w:spacing w:line="380" w:lineRule="atLeast"/>
              <w:jc w:val="center"/>
              <w:rPr>
                <w:szCs w:val="21"/>
              </w:rPr>
            </w:pPr>
            <w:r>
              <w:rPr>
                <w:szCs w:val="21"/>
              </w:rPr>
              <w:t>其他因素</w:t>
            </w:r>
          </w:p>
        </w:tc>
        <w:tc>
          <w:tcPr>
            <w:tcW w:w="516" w:type="pct"/>
            <w:vMerge w:val="restart"/>
            <w:vAlign w:val="center"/>
          </w:tcPr>
          <w:p>
            <w:pPr>
              <w:spacing w:line="380" w:lineRule="atLeast"/>
              <w:jc w:val="center"/>
              <w:rPr>
                <w:szCs w:val="21"/>
              </w:rPr>
            </w:pPr>
            <w:r>
              <w:rPr>
                <w:rFonts w:hint="eastAsia"/>
                <w:szCs w:val="21"/>
              </w:rPr>
              <w:t>技术</w:t>
            </w:r>
          </w:p>
          <w:p>
            <w:pPr>
              <w:spacing w:line="380" w:lineRule="atLeast"/>
              <w:jc w:val="center"/>
              <w:rPr>
                <w:szCs w:val="21"/>
              </w:rPr>
            </w:pPr>
            <w:r>
              <w:rPr>
                <w:szCs w:val="21"/>
              </w:rPr>
              <w:t>能力</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tcPr>
          <w:p>
            <w:pPr>
              <w:spacing w:line="380" w:lineRule="atLeast"/>
              <w:jc w:val="center"/>
              <w:rPr>
                <w:szCs w:val="21"/>
              </w:rPr>
            </w:pPr>
            <w:r>
              <w:rPr>
                <w:szCs w:val="21"/>
              </w:rPr>
              <w:t>……</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vAlign w:val="center"/>
          </w:tcPr>
          <w:p>
            <w:pPr>
              <w:spacing w:line="380" w:lineRule="atLeast"/>
              <w:jc w:val="center"/>
              <w:rPr>
                <w:rFonts w:eastAsia="隶书"/>
                <w:szCs w:val="21"/>
              </w:rPr>
            </w:pPr>
          </w:p>
        </w:tc>
        <w:tc>
          <w:tcPr>
            <w:tcW w:w="516" w:type="pct"/>
            <w:vMerge w:val="continue"/>
            <w:vAlign w:val="center"/>
          </w:tcPr>
          <w:p>
            <w:pPr>
              <w:spacing w:line="380" w:lineRule="atLeast"/>
              <w:jc w:val="center"/>
              <w:rPr>
                <w:szCs w:val="21"/>
              </w:rPr>
            </w:pPr>
          </w:p>
        </w:tc>
        <w:tc>
          <w:tcPr>
            <w:tcW w:w="558" w:type="pct"/>
            <w:vMerge w:val="continue"/>
            <w:vAlign w:val="center"/>
          </w:tcPr>
          <w:p>
            <w:pPr>
              <w:spacing w:line="380" w:lineRule="atLeast"/>
              <w:jc w:val="right"/>
              <w:rPr>
                <w:szCs w:val="21"/>
              </w:rPr>
            </w:pPr>
          </w:p>
        </w:tc>
        <w:tc>
          <w:tcPr>
            <w:tcW w:w="1780" w:type="pct"/>
          </w:tcPr>
          <w:p>
            <w:pPr>
              <w:spacing w:line="380" w:lineRule="atLeast"/>
              <w:jc w:val="center"/>
              <w:rPr>
                <w:szCs w:val="21"/>
              </w:rPr>
            </w:pPr>
            <w:r>
              <w:rPr>
                <w:szCs w:val="21"/>
              </w:rPr>
              <w:t>……</w:t>
            </w:r>
          </w:p>
        </w:tc>
        <w:tc>
          <w:tcPr>
            <w:tcW w:w="434" w:type="pct"/>
            <w:vAlign w:val="center"/>
          </w:tcPr>
          <w:p>
            <w:pPr>
              <w:spacing w:line="380" w:lineRule="atLeas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vAlign w:val="center"/>
          </w:tcPr>
          <w:p>
            <w:pPr>
              <w:spacing w:line="380" w:lineRule="atLeast"/>
              <w:ind w:left="-105" w:leftChars="-50" w:right="-105" w:rightChars="-50"/>
              <w:jc w:val="center"/>
              <w:rPr>
                <w:rFonts w:eastAsia="隶书"/>
                <w:szCs w:val="21"/>
              </w:rPr>
            </w:pPr>
          </w:p>
        </w:tc>
        <w:tc>
          <w:tcPr>
            <w:tcW w:w="516" w:type="pct"/>
            <w:vMerge w:val="restart"/>
            <w:vAlign w:val="center"/>
          </w:tcPr>
          <w:p>
            <w:pPr>
              <w:spacing w:line="380" w:lineRule="atLeast"/>
              <w:ind w:left="-105" w:leftChars="-50" w:right="-105" w:rightChars="-50"/>
              <w:jc w:val="center"/>
              <w:rPr>
                <w:szCs w:val="21"/>
              </w:rPr>
            </w:pPr>
            <w:r>
              <w:rPr>
                <w:szCs w:val="21"/>
              </w:rPr>
              <w:t>履约信誉</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tcPr>
          <w:p>
            <w:pPr>
              <w:spacing w:line="380" w:lineRule="atLeast"/>
              <w:jc w:val="center"/>
              <w:rPr>
                <w:szCs w:val="21"/>
              </w:rPr>
            </w:pPr>
            <w:r>
              <w:rPr>
                <w:szCs w:val="21"/>
              </w:rPr>
              <w:t>……</w:t>
            </w:r>
          </w:p>
        </w:tc>
        <w:tc>
          <w:tcPr>
            <w:tcW w:w="434" w:type="pct"/>
            <w:vAlign w:val="center"/>
          </w:tcPr>
          <w:p>
            <w:pPr>
              <w:spacing w:line="380" w:lineRule="atLeas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vAlign w:val="center"/>
          </w:tcPr>
          <w:p>
            <w:pPr>
              <w:spacing w:line="380" w:lineRule="atLeast"/>
              <w:jc w:val="center"/>
              <w:rPr>
                <w:rFonts w:eastAsia="隶书"/>
                <w:szCs w:val="21"/>
              </w:rPr>
            </w:pPr>
          </w:p>
        </w:tc>
        <w:tc>
          <w:tcPr>
            <w:tcW w:w="516" w:type="pct"/>
            <w:vMerge w:val="continue"/>
            <w:vAlign w:val="center"/>
          </w:tcPr>
          <w:p>
            <w:pPr>
              <w:spacing w:line="380" w:lineRule="atLeast"/>
              <w:jc w:val="center"/>
              <w:rPr>
                <w:szCs w:val="21"/>
              </w:rPr>
            </w:pPr>
          </w:p>
        </w:tc>
        <w:tc>
          <w:tcPr>
            <w:tcW w:w="558" w:type="pct"/>
            <w:vMerge w:val="continue"/>
            <w:vAlign w:val="center"/>
          </w:tcPr>
          <w:p>
            <w:pPr>
              <w:spacing w:line="380" w:lineRule="atLeast"/>
              <w:jc w:val="right"/>
              <w:rPr>
                <w:b/>
                <w:szCs w:val="21"/>
              </w:rPr>
            </w:pPr>
          </w:p>
        </w:tc>
        <w:tc>
          <w:tcPr>
            <w:tcW w:w="1780" w:type="pct"/>
          </w:tcPr>
          <w:p>
            <w:pPr>
              <w:spacing w:line="380" w:lineRule="atLeast"/>
              <w:jc w:val="center"/>
              <w:rPr>
                <w:szCs w:val="21"/>
              </w:rPr>
            </w:pPr>
            <w:r>
              <w:rPr>
                <w:szCs w:val="21"/>
              </w:rPr>
              <w:t>……</w:t>
            </w:r>
          </w:p>
        </w:tc>
        <w:tc>
          <w:tcPr>
            <w:tcW w:w="434" w:type="pct"/>
            <w:vAlign w:val="center"/>
          </w:tcPr>
          <w:p>
            <w:pPr>
              <w:spacing w:line="380" w:lineRule="atLeas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tcPr>
          <w:p>
            <w:pPr>
              <w:spacing w:line="380" w:lineRule="atLeast"/>
              <w:jc w:val="center"/>
              <w:rPr>
                <w:rFonts w:eastAsia="隶书"/>
                <w:szCs w:val="21"/>
              </w:rPr>
            </w:pPr>
          </w:p>
        </w:tc>
        <w:tc>
          <w:tcPr>
            <w:tcW w:w="516" w:type="pct"/>
            <w:vMerge w:val="restart"/>
          </w:tcPr>
          <w:p>
            <w:pPr>
              <w:spacing w:line="380" w:lineRule="atLeast"/>
              <w:jc w:val="center"/>
              <w:rPr>
                <w:szCs w:val="21"/>
              </w:rPr>
            </w:pPr>
            <w:r>
              <w:rPr>
                <w:szCs w:val="21"/>
              </w:rPr>
              <w:t>……</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tcPr>
          <w:p>
            <w:pPr>
              <w:spacing w:line="380" w:lineRule="atLeast"/>
              <w:jc w:val="center"/>
              <w:rPr>
                <w:szCs w:val="21"/>
              </w:rPr>
            </w:pPr>
            <w:r>
              <w:rPr>
                <w:szCs w:val="21"/>
              </w:rPr>
              <w:t>……</w:t>
            </w:r>
          </w:p>
        </w:tc>
        <w:tc>
          <w:tcPr>
            <w:tcW w:w="434" w:type="pct"/>
            <w:vAlign w:val="center"/>
          </w:tcPr>
          <w:p>
            <w:pPr>
              <w:spacing w:line="380" w:lineRule="atLeas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tcPr>
          <w:p>
            <w:pPr>
              <w:spacing w:line="380" w:lineRule="atLeast"/>
              <w:jc w:val="center"/>
              <w:rPr>
                <w:rFonts w:eastAsia="隶书"/>
                <w:szCs w:val="21"/>
              </w:rPr>
            </w:pPr>
          </w:p>
        </w:tc>
        <w:tc>
          <w:tcPr>
            <w:tcW w:w="516" w:type="pct"/>
            <w:vMerge w:val="continue"/>
          </w:tcPr>
          <w:p>
            <w:pPr>
              <w:spacing w:line="380" w:lineRule="atLeast"/>
              <w:jc w:val="center"/>
              <w:rPr>
                <w:szCs w:val="21"/>
              </w:rPr>
            </w:pPr>
          </w:p>
        </w:tc>
        <w:tc>
          <w:tcPr>
            <w:tcW w:w="558" w:type="pct"/>
            <w:vMerge w:val="continue"/>
            <w:vAlign w:val="center"/>
          </w:tcPr>
          <w:p>
            <w:pPr>
              <w:spacing w:line="380" w:lineRule="atLeast"/>
              <w:rPr>
                <w:szCs w:val="21"/>
                <w:u w:val="single"/>
              </w:rPr>
            </w:pPr>
          </w:p>
        </w:tc>
        <w:tc>
          <w:tcPr>
            <w:tcW w:w="1780" w:type="pct"/>
          </w:tcPr>
          <w:p>
            <w:pPr>
              <w:spacing w:line="380" w:lineRule="atLeast"/>
              <w:jc w:val="center"/>
              <w:rPr>
                <w:szCs w:val="21"/>
              </w:rPr>
            </w:pPr>
            <w:r>
              <w:rPr>
                <w:szCs w:val="21"/>
              </w:rPr>
              <w:t>……</w:t>
            </w:r>
          </w:p>
        </w:tc>
        <w:tc>
          <w:tcPr>
            <w:tcW w:w="434" w:type="pct"/>
            <w:vAlign w:val="center"/>
          </w:tcPr>
          <w:p>
            <w:pPr>
              <w:spacing w:line="380" w:lineRule="atLeas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tcPr>
          <w:p>
            <w:pPr>
              <w:spacing w:line="380" w:lineRule="atLeast"/>
              <w:rPr>
                <w:szCs w:val="21"/>
              </w:rPr>
            </w:pPr>
            <w:r>
              <w:rPr>
                <w:szCs w:val="21"/>
              </w:rPr>
              <w:t>需要补充的其他内容：</w:t>
            </w:r>
          </w:p>
          <w:p>
            <w:pPr>
              <w:spacing w:line="380" w:lineRule="atLeast"/>
              <w:rPr>
                <w:szCs w:val="21"/>
              </w:rPr>
            </w:pPr>
            <w:r>
              <w:rPr>
                <w:szCs w:val="21"/>
              </w:rPr>
              <w:t>……</w:t>
            </w:r>
          </w:p>
        </w:tc>
      </w:tr>
    </w:tbl>
    <w:p>
      <w:pPr>
        <w:rPr>
          <w:rFonts w:asciiTheme="minorEastAsia" w:hAnsiTheme="minorEastAsia" w:eastAsiaTheme="minorEastAsia"/>
          <w:b/>
          <w:sz w:val="24"/>
        </w:rPr>
      </w:pPr>
      <w:r>
        <w:rPr>
          <w:rFonts w:hint="eastAsia" w:asciiTheme="minorEastAsia" w:hAnsiTheme="minorEastAsia" w:eastAsiaTheme="minorEastAsia"/>
          <w:b/>
          <w:sz w:val="24"/>
        </w:rPr>
        <w:t>技术资信评分、报价评分因素设置说明：</w:t>
      </w:r>
    </w:p>
    <w:p>
      <w:pPr>
        <w:rPr>
          <w:rFonts w:asciiTheme="minorEastAsia" w:hAnsiTheme="minorEastAsia" w:eastAsiaTheme="minorEastAsia"/>
          <w:sz w:val="24"/>
        </w:rPr>
      </w:pPr>
      <w:r>
        <w:rPr>
          <w:rFonts w:hint="eastAsia" w:asciiTheme="minorEastAsia" w:hAnsiTheme="minorEastAsia" w:eastAsiaTheme="minorEastAsia"/>
          <w:sz w:val="24"/>
        </w:rPr>
        <w:t>①各评分因素权重分值范围如下：施工组织设计25~40分；主要人员25~40分；技术能力10~20分；履约信誉15~25分。投标人技术资信评分分值计算保留小数点后两位，小数点后第三位“四舍五入”。</w:t>
      </w:r>
    </w:p>
    <w:p>
      <w:pPr>
        <w:rPr>
          <w:rFonts w:ascii="宋体" w:hAnsi="宋体"/>
        </w:rPr>
      </w:pPr>
      <w:r>
        <w:rPr>
          <w:rFonts w:hint="eastAsia" w:asciiTheme="minorEastAsia" w:hAnsiTheme="minorEastAsia" w:eastAsiaTheme="minorEastAsia"/>
          <w:sz w:val="24"/>
        </w:rPr>
        <w:t>②技术资信评分表中的</w:t>
      </w:r>
      <w:r>
        <w:rPr>
          <w:rFonts w:hint="eastAsia" w:ascii="宋体" w:hAnsi="宋体"/>
        </w:rPr>
        <w:t>“技术能力”指投标人的科研开发和技术创新能力，招标人可结合招标项目的具体情况提出相关要求，包括投标人</w:t>
      </w:r>
      <w:r>
        <w:rPr>
          <w:rFonts w:hint="eastAsia"/>
        </w:rPr>
        <w:t>获得的与项目施工有关的国家级工法、专利（发明专利或实用新型专利）、国家或</w:t>
      </w:r>
      <w:r>
        <w:rPr>
          <w:rFonts w:hint="eastAsia" w:ascii="宋体" w:hAnsi="宋体" w:cs="宋体"/>
          <w:color w:val="2A2A2A"/>
          <w:shd w:val="clear" w:color="auto" w:fill="FFFFFF"/>
        </w:rPr>
        <w:t>省级科学技术进步奖</w:t>
      </w:r>
      <w:r>
        <w:rPr>
          <w:rFonts w:hint="eastAsia"/>
        </w:rPr>
        <w:t>，主编或参编过的国家、行业或地方标准等</w:t>
      </w:r>
      <w:r>
        <w:rPr>
          <w:rFonts w:hint="eastAsia" w:ascii="宋体" w:hAnsi="宋体"/>
        </w:rPr>
        <w:t>。</w:t>
      </w:r>
    </w:p>
    <w:p>
      <w:pPr>
        <w:rPr>
          <w:rFonts w:ascii="宋体" w:hAnsi="宋体"/>
        </w:rPr>
      </w:pPr>
      <w:r>
        <w:rPr>
          <w:rFonts w:hint="eastAsia" w:ascii="宋体" w:hAnsi="宋体"/>
        </w:rPr>
        <w:t>③招标人应根据项目具体情况确定各评分因素及评分因素权重分值，并对各评分因素进行细分（如有）、确定各评分因素细分项的分值，各评分因素权重分值合计应为100分。各评分因素（评标价和履约信誉评分项除外）得分一般不得低于其权重分值的60%，且各评分因素得分应以评标委员会各成员的打分平均值确定，评标委员会成员总数为7人以上时，该平均值以去掉一个最高分和一个最低分后计算。评标委员会成员对某一项评分因素的评分低于权重分值60%的，应在评标报告中作出说明。</w:t>
      </w:r>
    </w:p>
    <w:p>
      <w:pPr>
        <w:rPr>
          <w:rFonts w:ascii="宋体" w:hAnsi="宋体"/>
        </w:rPr>
      </w:pPr>
      <w:r>
        <w:rPr>
          <w:rFonts w:hint="eastAsia" w:ascii="宋体" w:hAnsi="宋体"/>
        </w:rPr>
        <w:t>④招标人应列明各评分因素或各评分因素细分项（如有）的评分标准并作为评标委员会进行评分的依据。</w:t>
      </w:r>
    </w:p>
    <w:p>
      <w:pPr>
        <w:rPr>
          <w:rFonts w:ascii="宋体" w:hAnsi="宋体"/>
        </w:rPr>
      </w:pPr>
      <w:r>
        <w:rPr>
          <w:rFonts w:hint="eastAsia" w:ascii="宋体" w:hAnsi="宋体"/>
        </w:rPr>
        <w:t>⑤针对履约信誉进行评分时，招标人可结合招标项目所在地省级交通运输主管部门对投标人的信用评级对其履约信用进行评分，但不得任意设置歧视性条款并不得任意设立行政许可。</w:t>
      </w:r>
    </w:p>
    <w:p>
      <w:pPr>
        <w:rPr>
          <w:rFonts w:hint="eastAsia" w:ascii="宋体" w:hAnsi="宋体"/>
        </w:rPr>
      </w:pPr>
      <w:r>
        <w:rPr>
          <w:rFonts w:hint="eastAsia" w:ascii="宋体" w:hAnsi="宋体"/>
        </w:rPr>
        <w:t>⑥评分因素具体以招标文件编制内容为准。</w:t>
      </w:r>
    </w:p>
    <w:p>
      <w:pPr>
        <w:rPr>
          <w:rFonts w:ascii="宋体" w:hAnsi="宋体"/>
        </w:rPr>
      </w:pPr>
      <w:r>
        <w:rPr>
          <w:rFonts w:hint="eastAsia" w:ascii="宋体" w:hAnsi="宋体"/>
        </w:rPr>
        <w:t>⑦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p>
      <w:pPr>
        <w:ind w:firstLine="480" w:firstLineChars="200"/>
        <w:rPr>
          <w:rFonts w:ascii="黑体" w:hAnsi="宋体" w:eastAsia="黑体"/>
          <w:sz w:val="24"/>
        </w:rPr>
      </w:pPr>
      <w:r>
        <w:rPr>
          <w:rFonts w:hint="eastAsia" w:ascii="黑体" w:hAnsi="宋体" w:eastAsia="黑体"/>
          <w:sz w:val="24"/>
        </w:rPr>
        <w:t>评标价计算公式：评标价＝修正后的投标报价－暂估价－暂列金额（不含计日工总额）。</w:t>
      </w:r>
    </w:p>
    <w:p>
      <w:pPr>
        <w:rPr>
          <w:rFonts w:ascii="宋体" w:hAnsi="宋体"/>
          <w:color w:val="FF0000"/>
        </w:rPr>
      </w:pPr>
      <w:r>
        <w:rPr>
          <w:rFonts w:hint="eastAsia" w:ascii="宋体" w:hAnsi="宋体"/>
          <w:color w:val="FF0000"/>
        </w:rPr>
        <w:t>注：</w:t>
      </w:r>
    </w:p>
    <w:p>
      <w:pPr>
        <w:rPr>
          <w:rFonts w:ascii="宋体" w:hAnsi="宋体"/>
          <w:color w:val="FF0000"/>
        </w:rPr>
      </w:pPr>
      <w:r>
        <w:rPr>
          <w:rFonts w:hint="eastAsia" w:ascii="宋体" w:hAnsi="宋体"/>
          <w:color w:val="FF0000"/>
        </w:rPr>
        <w:t>如本项目招标由投标人按照招标人提供的书面工程量清单填写本合同各工程子目的单价、合价和总额价，则评标委员会按照下列a和b条的规定对投标人的投标报价进行修正。如本项目招标由投标人按照招标人提供的工程量固化清单电子文件填写工程量清单，无须按照下列a和b条的规定对投标报价进行修正，且c条不适用，即评标价＝投标函文字报价－暂估价－暂列金额（不含计日工总额）。</w:t>
      </w:r>
    </w:p>
    <w:p>
      <w:pPr>
        <w:rPr>
          <w:rFonts w:ascii="宋体" w:hAnsi="宋体"/>
          <w:color w:val="FF0000"/>
        </w:rPr>
      </w:pPr>
      <w:r>
        <w:rPr>
          <w:rFonts w:hint="eastAsia" w:ascii="宋体" w:hAnsi="宋体"/>
          <w:color w:val="FF0000"/>
        </w:rPr>
        <w:t>a、投标报价有算术错误的，评标委员会按以下原则对投标报价进行修正，修正的价格经投标人书面确认后具有约束力。投标人不接受修正价格的，评标委员会应否决其投标。</w:t>
      </w:r>
    </w:p>
    <w:p>
      <w:pPr>
        <w:rPr>
          <w:rFonts w:ascii="宋体" w:hAnsi="宋体"/>
          <w:color w:val="FF0000"/>
        </w:rPr>
      </w:pPr>
      <w:r>
        <w:rPr>
          <w:rFonts w:hint="eastAsia" w:ascii="宋体" w:hAnsi="宋体"/>
          <w:color w:val="FF0000"/>
        </w:rPr>
        <w:t>（1）投标文件中的大写金额与小写金额不一致的，以大写金额为准；</w:t>
      </w:r>
    </w:p>
    <w:p>
      <w:pPr>
        <w:rPr>
          <w:rFonts w:ascii="宋体" w:hAnsi="宋体"/>
          <w:color w:val="FF0000"/>
        </w:rPr>
      </w:pPr>
      <w:r>
        <w:rPr>
          <w:rFonts w:hint="eastAsia" w:ascii="宋体" w:hAnsi="宋体"/>
          <w:color w:val="FF0000"/>
        </w:rPr>
        <w:t>（2）总价金额与依据单价计算出的结果不一致的，以单价金额为准修正总价，但单价金额小数点有明显错误的除外;</w:t>
      </w:r>
    </w:p>
    <w:p>
      <w:pPr>
        <w:rPr>
          <w:rFonts w:ascii="宋体" w:hAnsi="宋体"/>
          <w:color w:val="FF0000"/>
        </w:rPr>
      </w:pPr>
      <w:r>
        <w:rPr>
          <w:rFonts w:hint="eastAsia" w:ascii="宋体" w:hAnsi="宋体"/>
          <w:color w:val="FF0000"/>
        </w:rPr>
        <w:t>（3）当单价与数量相乘不等于合价时，以单价计算为准，如果单价有明显的小数点位置差错，应以标出的合价为准，同时对单价予以修正；</w:t>
      </w:r>
    </w:p>
    <w:p>
      <w:pPr>
        <w:rPr>
          <w:rFonts w:ascii="宋体" w:hAnsi="宋体"/>
          <w:color w:val="FF0000"/>
        </w:rPr>
      </w:pPr>
      <w:r>
        <w:rPr>
          <w:rFonts w:hint="eastAsia" w:ascii="宋体" w:hAnsi="宋体"/>
          <w:color w:val="FF0000"/>
        </w:rPr>
        <w:t>（4）当各子目的合价累计不等于总价时，应以各子目合价累计数为准，修正总价。</w:t>
      </w:r>
    </w:p>
    <w:p>
      <w:pPr>
        <w:rPr>
          <w:rFonts w:ascii="宋体" w:hAnsi="宋体"/>
          <w:color w:val="FF0000"/>
        </w:rPr>
      </w:pPr>
      <w:r>
        <w:rPr>
          <w:rFonts w:hint="eastAsia" w:ascii="宋体" w:hAnsi="宋体"/>
          <w:color w:val="FF0000"/>
        </w:rPr>
        <w:t>b、工程量清单中的投标报价有其他错误的，评标委员会按以下原则对投标报价进行修正，修正的价格经投标人书面确认后具有约束力。投标人不接受修正价格的，评标委员会应否决其投标。</w:t>
      </w:r>
    </w:p>
    <w:p>
      <w:pPr>
        <w:rPr>
          <w:rFonts w:ascii="宋体" w:hAnsi="宋体"/>
          <w:color w:val="FF0000"/>
        </w:rPr>
      </w:pPr>
      <w:r>
        <w:rPr>
          <w:rFonts w:hint="eastAsia" w:ascii="宋体" w:hAnsi="宋体"/>
          <w:color w:val="FF0000"/>
        </w:rPr>
        <w:t>（1）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pPr>
        <w:rPr>
          <w:rFonts w:ascii="宋体" w:hAnsi="宋体"/>
          <w:color w:val="FF0000"/>
        </w:rPr>
      </w:pPr>
      <w:r>
        <w:rPr>
          <w:rFonts w:hint="eastAsia" w:ascii="宋体" w:hAnsi="宋体"/>
          <w:color w:val="FF0000"/>
        </w:rPr>
        <w:t>（2）在招标人给定的工程量清单中多报了某个工程子目的单价、合价或总额价，或所报单价、合价或总额价增加了报价范围，则从投标报价中扣除多报的工程子目报价或工程子目报价中增加了报价范围的部分报价。</w:t>
      </w:r>
    </w:p>
    <w:p>
      <w:pPr>
        <w:rPr>
          <w:rFonts w:ascii="宋体" w:hAnsi="宋体"/>
          <w:color w:val="FF0000"/>
        </w:rPr>
      </w:pPr>
      <w:r>
        <w:rPr>
          <w:rFonts w:hint="eastAsia" w:ascii="宋体" w:hAnsi="宋体"/>
          <w:color w:val="FF0000"/>
        </w:rPr>
        <w:t>（3）当单价与数量的乘积与合价（金额）虽然一致，但投标人修改了该子目的工程数量，则其合价按招标人给定的工程数量乘以投标人所报单价予以修正。</w:t>
      </w:r>
    </w:p>
    <w:p>
      <w:pPr>
        <w:rPr>
          <w:rFonts w:ascii="宋体" w:hAnsi="宋体"/>
          <w:color w:val="FF0000"/>
        </w:rPr>
      </w:pPr>
      <w:r>
        <w:rPr>
          <w:rFonts w:hint="eastAsia" w:ascii="宋体" w:hAnsi="宋体"/>
          <w:color w:val="FF0000"/>
        </w:rPr>
        <w:t>c、修正后的最终投标报价若超过最高投标限价（如有），评标委员会应否决其投标。</w:t>
      </w:r>
    </w:p>
    <w:p>
      <w:pPr>
        <w:ind w:firstLine="480" w:firstLineChars="200"/>
        <w:rPr>
          <w:rFonts w:ascii="黑体" w:hAnsi="宋体" w:eastAsia="黑体"/>
          <w:sz w:val="24"/>
        </w:rPr>
      </w:pPr>
      <w:r>
        <w:rPr>
          <w:rFonts w:ascii="黑体" w:hAnsi="宋体" w:eastAsia="黑体"/>
          <w:sz w:val="24"/>
        </w:rPr>
        <w:t>按照</w:t>
      </w:r>
      <w:r>
        <w:rPr>
          <w:rFonts w:hint="eastAsia" w:ascii="黑体" w:hAnsi="宋体" w:eastAsia="黑体"/>
          <w:sz w:val="24"/>
        </w:rPr>
        <w:t>投标人的技术资信</w:t>
      </w:r>
      <w:r>
        <w:rPr>
          <w:rFonts w:ascii="黑体" w:hAnsi="宋体" w:eastAsia="黑体"/>
          <w:sz w:val="24"/>
        </w:rPr>
        <w:t>得分由高到低</w:t>
      </w:r>
      <w:r>
        <w:rPr>
          <w:rFonts w:hint="eastAsia" w:ascii="黑体" w:hAnsi="宋体" w:eastAsia="黑体"/>
          <w:sz w:val="24"/>
        </w:rPr>
        <w:t>排序，选择前</w:t>
      </w:r>
      <w:r>
        <w:rPr>
          <w:rFonts w:hint="eastAsia" w:ascii="黑体" w:hAnsi="宋体" w:eastAsia="黑体"/>
          <w:sz w:val="24"/>
          <w:u w:val="single"/>
        </w:rPr>
        <w:t xml:space="preserve">    </w:t>
      </w:r>
      <w:r>
        <w:rPr>
          <w:rFonts w:hint="eastAsia" w:ascii="黑体" w:hAnsi="宋体" w:eastAsia="黑体"/>
          <w:sz w:val="24"/>
        </w:rPr>
        <w:t>名入围商务标评审，若入围的投标人中，按照商务标评审办法有部分投标人出现无效标的情况时，应在未入围投标人中按照技术资信业绩得分从高到低依次递补入围（分数相同者同时入围）进行商务标评审。对商务标评审合格的投标人评标价按从低到高依次确定中标候选人排序，并推荐1至3名中标候选人。若入围的投标人报价相同，则评标委员会依次按照以下优先顺序推荐中标候选人或确定中标人：</w:t>
      </w:r>
    </w:p>
    <w:p>
      <w:pPr>
        <w:ind w:firstLine="480" w:firstLineChars="200"/>
        <w:rPr>
          <w:rFonts w:ascii="黑体" w:hAnsi="宋体" w:eastAsia="黑体"/>
          <w:sz w:val="24"/>
        </w:rPr>
      </w:pPr>
      <w:r>
        <w:rPr>
          <w:rFonts w:hint="eastAsia" w:ascii="黑体" w:hAnsi="宋体" w:eastAsia="黑体"/>
          <w:sz w:val="24"/>
        </w:rPr>
        <w:t>①投标报价低的投标人优先；</w:t>
      </w:r>
    </w:p>
    <w:p>
      <w:pPr>
        <w:ind w:firstLine="480" w:firstLineChars="200"/>
        <w:rPr>
          <w:rFonts w:ascii="黑体" w:hAnsi="宋体" w:eastAsia="黑体"/>
          <w:sz w:val="24"/>
        </w:rPr>
      </w:pPr>
      <w:r>
        <w:rPr>
          <w:rFonts w:hint="eastAsia" w:ascii="黑体" w:hAnsi="宋体" w:eastAsia="黑体"/>
          <w:sz w:val="24"/>
        </w:rPr>
        <w:t>②被招标项目所在地省级交通运输主管部门评为较高信用等级的投标人优先；</w:t>
      </w:r>
    </w:p>
    <w:p>
      <w:pPr>
        <w:ind w:firstLine="480" w:firstLineChars="200"/>
        <w:rPr>
          <w:rFonts w:ascii="黑体" w:hAnsi="宋体" w:eastAsia="黑体"/>
          <w:sz w:val="24"/>
        </w:rPr>
      </w:pPr>
      <w:r>
        <w:rPr>
          <w:rFonts w:hint="eastAsia" w:ascii="黑体" w:hAnsi="宋体" w:eastAsia="黑体"/>
          <w:sz w:val="24"/>
        </w:rPr>
        <w:t>③技术资信得分较高的投标人优先；</w:t>
      </w:r>
    </w:p>
    <w:p>
      <w:pPr>
        <w:ind w:firstLine="480" w:firstLineChars="200"/>
        <w:rPr>
          <w:rFonts w:ascii="黑体" w:hAnsi="宋体" w:eastAsia="黑体"/>
          <w:sz w:val="24"/>
        </w:rPr>
      </w:pPr>
      <w:r>
        <w:rPr>
          <w:rFonts w:hint="eastAsia" w:ascii="黑体" w:hAnsi="宋体" w:eastAsia="黑体"/>
          <w:sz w:val="24"/>
        </w:rPr>
        <w:t>④……</w:t>
      </w:r>
    </w:p>
    <w:p>
      <w:pPr>
        <w:ind w:firstLine="480" w:firstLineChars="200"/>
        <w:rPr>
          <w:rFonts w:ascii="黑体" w:hAnsi="宋体" w:eastAsia="黑体"/>
          <w:color w:val="FF0000"/>
          <w:sz w:val="24"/>
        </w:rPr>
      </w:pPr>
      <w:r>
        <w:rPr>
          <w:rFonts w:hint="eastAsia" w:ascii="黑体" w:hAnsi="宋体" w:eastAsia="黑体"/>
          <w:color w:val="FF0000"/>
          <w:sz w:val="24"/>
        </w:rPr>
        <w:t>注：入围商务标评审的投标人数量的设置应避免本办法演变为经评审的最低投标价法，该数量应不少于3名，最高不宜超过10名。此外，招标人可规定技术文件采用暗标形式编制。</w:t>
      </w:r>
    </w:p>
    <w:p>
      <w:pPr>
        <w:ind w:firstLine="480" w:firstLineChars="200"/>
        <w:rPr>
          <w:rFonts w:ascii="黑体" w:hAnsi="宋体" w:eastAsia="黑体"/>
          <w:sz w:val="24"/>
        </w:rPr>
      </w:pPr>
      <w:r>
        <w:rPr>
          <w:rFonts w:hint="eastAsia" w:ascii="黑体" w:hAnsi="宋体" w:eastAsia="黑体"/>
          <w:sz w:val="24"/>
        </w:rPr>
        <w:t>按上述规则不能确定中标人的，</w:t>
      </w:r>
      <w:r>
        <w:rPr>
          <w:rFonts w:ascii="黑体" w:hAnsi="宋体" w:eastAsia="黑体"/>
          <w:sz w:val="24"/>
        </w:rPr>
        <w:t>由招标人代表现场随机确定中标候选人排序</w:t>
      </w:r>
      <w:r>
        <w:rPr>
          <w:rFonts w:hint="eastAsia" w:ascii="黑体" w:hAnsi="宋体" w:eastAsia="黑体"/>
          <w:sz w:val="24"/>
        </w:rPr>
        <w:t>。</w:t>
      </w:r>
    </w:p>
    <w:p>
      <w:pPr>
        <w:ind w:firstLine="480" w:firstLineChars="200"/>
        <w:rPr>
          <w:rFonts w:ascii="黑体" w:hAnsi="宋体" w:eastAsia="黑体"/>
          <w:bCs/>
          <w:sz w:val="24"/>
        </w:rPr>
      </w:pPr>
      <w:r>
        <w:rPr>
          <w:rFonts w:hint="eastAsia" w:ascii="黑体" w:hAnsi="宋体" w:eastAsia="黑体"/>
          <w:bCs/>
          <w:sz w:val="24"/>
        </w:rPr>
        <w:t>投标文件中有含义不明确的内容、明显文字或者计算错误，评标委员会认为需要投标人作出必要澄清、说明的，评标委员会应主动向投标人询标，并对询标的内容填表记录。投标人的澄清、说明应当采用招标文件规定的形式，并不得超出投标文件的范围或者改变投标文件的实质性内容。评标委员会不得暗示或者诱导投标人作出澄清、说明，不得接受投标人主动提出的澄清、说明。</w:t>
      </w:r>
    </w:p>
    <w:p>
      <w:pPr>
        <w:ind w:firstLine="480" w:firstLineChars="200"/>
        <w:rPr>
          <w:rFonts w:asciiTheme="minorEastAsia" w:hAnsiTheme="minorEastAsia" w:eastAsiaTheme="minorEastAsia"/>
          <w:sz w:val="24"/>
        </w:rPr>
      </w:pPr>
      <w:r>
        <w:rPr>
          <w:rFonts w:hint="eastAsia" w:ascii="黑体" w:hAnsi="宋体" w:eastAsia="黑体"/>
          <w:bCs/>
          <w:sz w:val="24"/>
        </w:rPr>
        <w:t>评委会在评标过程中发现的问题，应当及时作出处理或者向招标人提出处理建议，并作书面记录。</w:t>
      </w:r>
    </w:p>
    <w:p>
      <w:pPr>
        <w:spacing w:line="360" w:lineRule="exact"/>
        <w:ind w:firstLine="480" w:firstLineChars="200"/>
        <w:rPr>
          <w:rFonts w:ascii="仿宋_GB2312" w:hAnsi="宋体" w:eastAsia="仿宋_GB2312"/>
          <w:sz w:val="24"/>
        </w:rPr>
      </w:pPr>
    </w:p>
    <w:p>
      <w:pPr>
        <w:rPr>
          <w:rFonts w:ascii="黑体" w:hAnsi="宋体" w:eastAsia="黑体"/>
          <w:color w:val="FF0000"/>
          <w:sz w:val="24"/>
        </w:rPr>
      </w:pPr>
      <w:r>
        <w:rPr>
          <w:rFonts w:hint="eastAsia" w:hAnsi="宋体"/>
          <w:b/>
          <w:sz w:val="30"/>
          <w:szCs w:val="30"/>
        </w:rPr>
        <w:t>评标办法：</w:t>
      </w:r>
      <w:r>
        <w:rPr>
          <w:rFonts w:hint="eastAsia" w:ascii="黑体" w:hAnsi="宋体" w:eastAsia="黑体"/>
          <w:color w:val="FF0000"/>
          <w:sz w:val="24"/>
        </w:rPr>
        <w:t>本项目采用</w:t>
      </w:r>
      <w:r>
        <w:rPr>
          <w:rFonts w:hint="eastAsia" w:ascii="黑体" w:hAnsi="宋体" w:eastAsia="黑体"/>
          <w:color w:val="FF0000"/>
          <w:sz w:val="24"/>
          <w:u w:val="double"/>
        </w:rPr>
        <w:t>“经评审的最低投标价法”</w:t>
      </w:r>
      <w:r>
        <w:rPr>
          <w:rFonts w:hint="eastAsia" w:ascii="黑体" w:hAnsi="宋体" w:eastAsia="黑体"/>
          <w:color w:val="FF0000"/>
          <w:sz w:val="24"/>
        </w:rPr>
        <w:t>。(本办法仅适用于工程规模较小、技术含量较低的工程。)</w:t>
      </w:r>
    </w:p>
    <w:p>
      <w:pPr>
        <w:spacing w:line="360" w:lineRule="exact"/>
        <w:ind w:firstLine="480" w:firstLineChars="200"/>
        <w:rPr>
          <w:rFonts w:ascii="仿宋_GB2312" w:hAnsi="宋体" w:eastAsia="仿宋_GB2312"/>
          <w:color w:val="000000"/>
          <w:sz w:val="24"/>
        </w:rPr>
      </w:pPr>
      <w:r>
        <w:rPr>
          <w:rFonts w:hint="eastAsia" w:ascii="仿宋_GB2312" w:hAnsi="宋体" w:eastAsia="仿宋_GB2312"/>
          <w:color w:val="000000"/>
          <w:sz w:val="24"/>
        </w:rPr>
        <w:t>本次评标采用“经评审的最低投标价法”。即评标委员会遵循规定的评标原则，首先对投标人资格和技术标进行评审。评委会在对投标人资格评审时，应结合投标文件技术标一并进行。对资格评审通过的投标人进行技术标评审和商务标评审。</w:t>
      </w:r>
    </w:p>
    <w:p>
      <w:pPr>
        <w:spacing w:line="360" w:lineRule="exact"/>
        <w:ind w:firstLine="480" w:firstLineChars="200"/>
        <w:rPr>
          <w:rFonts w:ascii="仿宋_GB2312" w:hAnsi="宋体" w:eastAsia="仿宋_GB2312"/>
          <w:color w:val="000000"/>
          <w:sz w:val="24"/>
        </w:rPr>
      </w:pPr>
      <w:r>
        <w:rPr>
          <w:rFonts w:hint="eastAsia" w:ascii="仿宋_GB2312" w:hAnsi="宋体" w:eastAsia="仿宋_GB2312"/>
          <w:color w:val="000000"/>
          <w:sz w:val="24"/>
        </w:rPr>
        <w:t>评标委员会对通过技术标评审和商务标评审的投标人进行</w:t>
      </w:r>
      <w:r>
        <w:rPr>
          <w:rFonts w:ascii="仿宋_GB2312" w:hAnsi="宋体" w:eastAsia="仿宋_GB2312"/>
          <w:color w:val="000000"/>
          <w:sz w:val="24"/>
        </w:rPr>
        <w:t>评标价计算</w:t>
      </w:r>
      <w:r>
        <w:rPr>
          <w:rFonts w:hint="eastAsia" w:ascii="仿宋_GB2312" w:hAnsi="宋体" w:eastAsia="仿宋_GB2312"/>
          <w:color w:val="000000"/>
          <w:sz w:val="24"/>
        </w:rPr>
        <w:t>：</w:t>
      </w:r>
      <w:r>
        <w:rPr>
          <w:rFonts w:ascii="仿宋_GB2312" w:hAnsi="宋体" w:eastAsia="仿宋_GB2312"/>
          <w:color w:val="000000"/>
          <w:sz w:val="24"/>
        </w:rPr>
        <w:t>经评审的投标价（评标价）＝修正后的投标报价－暂估价－暂列金额（不含计日工总额）</w:t>
      </w:r>
      <w:r>
        <w:rPr>
          <w:rFonts w:hint="eastAsia" w:ascii="仿宋_GB2312" w:hAnsi="宋体" w:eastAsia="仿宋_GB2312"/>
          <w:color w:val="000000"/>
          <w:sz w:val="24"/>
        </w:rPr>
        <w:t>。</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注：如本项目招标由投标人按照招标人提供的书面工程量清单填写本合同各工程子目的单价、合价和总额价，则评标委员会按照下列a项和b条的规定对投标人的投标报价进行修正。如本项目招标由投标人按照招标人提供的工程量固化清单电子文件填写工程量清单，无须按照下列a和b条的规定对投标报价进行修正，且c条内容不适用，即投标价（评标价）＝投标函文字报价－暂估价－暂列金额（不含计日工总额）。</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a、投标报价有算术错误的，评标委员会按以下原则对投标报价进行修正，修正的价格经投标人书面确认后具有约束力。投标人不接受修正价格的，评标委员会应否决其投标。</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（1）投标文件中的大写金额与小写金额不一致的，以大写金额为准；</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（2）总价金额与依据单价计算出的结果不一致的，以单价金额为准修正总价，但单价金额小数点有明显错误的除外；</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（3）当单价与数量相乘不等于合价时，以单价计算为准，如果单价有明显的小数点位置差错，应以标出的合价为准，同时对单价予以修正；</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（4）当各子目的合价累计不等于总价时，应以各子目合价累计数为准，修正总价。</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b、工程量清单中的投标报价有其他错误的，评标委员会按以下原则对投标报价进行修正，修正的价格经投标人书面确认后具有约束力。投标人不接受修正价格的，评标委员会应否决其投标。</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2）在招标人给定的工程量清单中多报了某个工程子目的单价、合价或总额价，或所报单价、合价或总额价增加了报价范围，则从投标报价中扣除多报的工程子目报价或工程子目报价中增加了报价范围的部分报价。</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（3）当单价与数量的乘积与合价（金额）虽然一致，但投标人修改了该子目的工程数量，则其合价按招标人给定的工程数量乘以投标人所报单价予以修正。</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c、修正后的最终投标报价若超过最高投标限价（如有），评标委员会应否决其投标。</w:t>
      </w:r>
    </w:p>
    <w:p>
      <w:pPr>
        <w:spacing w:line="360" w:lineRule="exact"/>
        <w:ind w:firstLine="480" w:firstLineChars="200"/>
        <w:rPr>
          <w:rFonts w:ascii="黑体" w:hAnsi="宋体" w:eastAsia="黑体"/>
          <w:sz w:val="24"/>
        </w:rPr>
      </w:pPr>
      <w:r>
        <w:rPr>
          <w:rFonts w:hint="eastAsia" w:ascii="黑体" w:hAnsi="宋体" w:eastAsia="黑体"/>
          <w:sz w:val="24"/>
        </w:rPr>
        <w:t>按投标价由低到高依次确定中标候选人排序，并推荐1至3名中标候选人。经评审的投标价相等时，评标委员会依次按照以下优先顺序推荐中标候选人或确定中标人：</w:t>
      </w:r>
    </w:p>
    <w:p>
      <w:pPr>
        <w:spacing w:line="360" w:lineRule="exact"/>
        <w:ind w:firstLine="480" w:firstLineChars="200"/>
        <w:rPr>
          <w:rFonts w:ascii="黑体" w:hAnsi="宋体" w:eastAsia="黑体"/>
          <w:sz w:val="24"/>
        </w:rPr>
      </w:pPr>
      <w:r>
        <w:rPr>
          <w:rFonts w:hint="eastAsia" w:ascii="黑体" w:hAnsi="宋体" w:eastAsia="黑体"/>
          <w:sz w:val="24"/>
        </w:rPr>
        <w:t>①投标报价低的投标人优先；</w:t>
      </w:r>
    </w:p>
    <w:p>
      <w:pPr>
        <w:spacing w:line="360" w:lineRule="exact"/>
        <w:ind w:firstLine="480" w:firstLineChars="200"/>
        <w:rPr>
          <w:rFonts w:ascii="黑体" w:hAnsi="宋体" w:eastAsia="黑体"/>
          <w:sz w:val="24"/>
        </w:rPr>
      </w:pPr>
      <w:r>
        <w:rPr>
          <w:rFonts w:hint="eastAsia" w:ascii="黑体" w:hAnsi="宋体" w:eastAsia="黑体"/>
          <w:sz w:val="24"/>
        </w:rPr>
        <w:t>②被招标项目所在地省级交通运输主管部门评为较高信用等级的投标人优先；</w:t>
      </w:r>
    </w:p>
    <w:p>
      <w:pPr>
        <w:spacing w:line="360" w:lineRule="exact"/>
        <w:ind w:firstLine="480" w:firstLineChars="200"/>
        <w:rPr>
          <w:rFonts w:ascii="黑体" w:hAnsi="宋体" w:eastAsia="黑体"/>
          <w:sz w:val="24"/>
        </w:rPr>
      </w:pPr>
      <w:r>
        <w:rPr>
          <w:rFonts w:hint="eastAsia" w:ascii="黑体" w:hAnsi="宋体" w:eastAsia="黑体"/>
          <w:sz w:val="24"/>
        </w:rPr>
        <w:t>③……</w:t>
      </w:r>
    </w:p>
    <w:p>
      <w:pPr>
        <w:ind w:firstLine="480" w:firstLineChars="200"/>
        <w:rPr>
          <w:rFonts w:ascii="宋体" w:hAnsi="宋体"/>
          <w:color w:val="0000FF"/>
          <w:sz w:val="24"/>
        </w:rPr>
      </w:pPr>
      <w:r>
        <w:rPr>
          <w:rFonts w:hint="eastAsia" w:ascii="黑体" w:hAnsi="宋体" w:eastAsia="黑体"/>
          <w:sz w:val="24"/>
        </w:rPr>
        <w:t>按上述规则不能确定中标人的，</w:t>
      </w:r>
      <w:r>
        <w:rPr>
          <w:rFonts w:ascii="黑体" w:hAnsi="宋体" w:eastAsia="黑体"/>
          <w:sz w:val="24"/>
        </w:rPr>
        <w:t>由招标人代表现场随机确定中标候选人排序</w:t>
      </w:r>
      <w:r>
        <w:rPr>
          <w:rFonts w:hint="eastAsia" w:ascii="黑体" w:hAnsi="宋体" w:eastAsia="黑体"/>
          <w:sz w:val="24"/>
        </w:rPr>
        <w:t>。</w:t>
      </w:r>
    </w:p>
    <w:p>
      <w:pPr>
        <w:ind w:firstLine="480" w:firstLineChars="200"/>
        <w:rPr>
          <w:rFonts w:ascii="黑体" w:hAnsi="宋体" w:eastAsia="黑体"/>
          <w:bCs/>
          <w:sz w:val="24"/>
        </w:rPr>
      </w:pPr>
      <w:r>
        <w:rPr>
          <w:rFonts w:hint="eastAsia" w:ascii="黑体" w:hAnsi="宋体" w:eastAsia="黑体"/>
          <w:bCs/>
          <w:sz w:val="24"/>
        </w:rPr>
        <w:t>投标文件中有含义不明确的内容、明显文字或者计算错误，评标委员会认为需要投标人作出必要澄清、说明的，评标委员会应主动向投标人询标，并对询标的内容填表记录。投标人的澄清、说明应当采用招标文件规定的形式，并不得超出投标文件的范围或者改变投标文件的实质性内容。评标委员会不得暗示或者诱导投标人作出澄清、说明，不得接受投标人主动提出的澄清、说明。</w:t>
      </w:r>
    </w:p>
    <w:p>
      <w:pPr>
        <w:spacing w:line="360" w:lineRule="exact"/>
        <w:ind w:firstLine="480" w:firstLineChars="200"/>
        <w:rPr>
          <w:rFonts w:ascii="仿宋_GB2312" w:hAnsi="宋体" w:eastAsia="仿宋_GB2312"/>
          <w:color w:val="000000"/>
          <w:sz w:val="24"/>
        </w:rPr>
      </w:pPr>
      <w:r>
        <w:rPr>
          <w:rFonts w:hint="eastAsia" w:ascii="黑体" w:hAnsi="宋体" w:eastAsia="黑体"/>
          <w:bCs/>
          <w:sz w:val="24"/>
        </w:rPr>
        <w:t>评委会在评标过程中发现的问题，应当及时作出处理或者向招标人提出处理建议，并作书面记录。</w:t>
      </w:r>
    </w:p>
    <w:p>
      <w:pPr>
        <w:spacing w:line="360" w:lineRule="exact"/>
        <w:ind w:firstLine="480" w:firstLineChars="200"/>
        <w:rPr>
          <w:rFonts w:ascii="仿宋_GB2312" w:hAnsi="宋体" w:eastAsia="仿宋_GB2312"/>
          <w:color w:val="000000"/>
          <w:sz w:val="24"/>
        </w:rPr>
      </w:pPr>
    </w:p>
    <w:p>
      <w:pPr>
        <w:ind w:firstLine="602" w:firstLineChars="200"/>
        <w:rPr>
          <w:rFonts w:ascii="仿宋_GB2312" w:hAnsi="宋体" w:eastAsia="仿宋_GB2312"/>
          <w:color w:val="FF0000"/>
          <w:sz w:val="24"/>
        </w:rPr>
      </w:pPr>
      <w:r>
        <w:rPr>
          <w:rFonts w:hint="eastAsia" w:hAnsi="宋体"/>
          <w:b/>
          <w:sz w:val="30"/>
          <w:szCs w:val="30"/>
        </w:rPr>
        <w:t>评标办法：</w:t>
      </w:r>
      <w:r>
        <w:rPr>
          <w:rFonts w:hint="eastAsia" w:ascii="仿宋_GB2312" w:hAnsi="宋体" w:eastAsia="仿宋_GB2312"/>
          <w:color w:val="FF0000"/>
          <w:sz w:val="24"/>
          <w:u w:val="single"/>
        </w:rPr>
        <w:t>本项目采用“两阶段评标法”</w:t>
      </w:r>
      <w:r>
        <w:rPr>
          <w:rFonts w:hint="eastAsia" w:ascii="仿宋_GB2312" w:hAnsi="宋体" w:eastAsia="仿宋_GB2312"/>
          <w:color w:val="FF0000"/>
          <w:sz w:val="24"/>
        </w:rPr>
        <w:t>，第一阶段技术标评审，第二阶段商务报价评审。即评标委员会遵循规定的评标原则，首先对投标人资格和技术进行评审。评委会在对投标人资格评审时，应结合投标文件技术标一并进行。对通过资格评审、技术标初审和技术标详细评审的投标人进行技术标评审和打分。</w:t>
      </w:r>
    </w:p>
    <w:p>
      <w:pPr>
        <w:jc w:val="center"/>
        <w:rPr>
          <w:rFonts w:ascii="仿宋_GB2312" w:hAnsi="宋体" w:eastAsia="仿宋_GB2312"/>
          <w:color w:val="000000"/>
          <w:sz w:val="24"/>
        </w:rPr>
      </w:pPr>
      <w:r>
        <w:rPr>
          <w:rFonts w:hint="eastAsia" w:ascii="仿宋_GB2312" w:eastAsia="仿宋_GB2312"/>
          <w:b/>
          <w:sz w:val="36"/>
        </w:rPr>
        <w:t>技术资信</w:t>
      </w:r>
      <w:r>
        <w:rPr>
          <w:rFonts w:hint="eastAsia" w:ascii="仿宋_GB2312" w:hAnsi="宋体" w:eastAsia="仿宋_GB2312"/>
          <w:b/>
          <w:kern w:val="0"/>
          <w:sz w:val="36"/>
        </w:rPr>
        <w:t>评分表</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5"/>
        <w:gridCol w:w="503"/>
        <w:gridCol w:w="1017"/>
        <w:gridCol w:w="1100"/>
        <w:gridCol w:w="3508"/>
        <w:gridCol w:w="85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337" w:type="pct"/>
            <w:gridSpan w:val="6"/>
            <w:tcBorders>
              <w:top w:val="single" w:color="auto" w:sz="4" w:space="0"/>
            </w:tcBorders>
          </w:tcPr>
          <w:p>
            <w:pPr>
              <w:spacing w:line="380" w:lineRule="atLeast"/>
              <w:ind w:left="-105" w:leftChars="-50" w:right="-105" w:rightChars="-50"/>
              <w:jc w:val="center"/>
              <w:rPr>
                <w:b/>
                <w:color w:val="FF0000"/>
                <w:szCs w:val="21"/>
              </w:rPr>
            </w:pPr>
            <w:r>
              <w:rPr>
                <w:rFonts w:ascii="宋体" w:hAnsi="宋体"/>
                <w:b/>
                <w:szCs w:val="21"/>
              </w:rPr>
              <w:t>评分因素与权重分值</w:t>
            </w:r>
          </w:p>
        </w:tc>
        <w:tc>
          <w:tcPr>
            <w:tcW w:w="663" w:type="pct"/>
            <w:vMerge w:val="restart"/>
            <w:tcBorders>
              <w:top w:val="single" w:color="auto" w:sz="4" w:space="0"/>
            </w:tcBorders>
            <w:vAlign w:val="center"/>
          </w:tcPr>
          <w:p>
            <w:pPr>
              <w:spacing w:line="380" w:lineRule="atLeast"/>
              <w:jc w:val="center"/>
              <w:rPr>
                <w:b/>
                <w:szCs w:val="21"/>
              </w:rPr>
            </w:pPr>
            <w:r>
              <w:rPr>
                <w:b/>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94" w:type="pct"/>
            <w:vAlign w:val="center"/>
          </w:tcPr>
          <w:p>
            <w:pPr>
              <w:spacing w:line="380" w:lineRule="atLeast"/>
              <w:jc w:val="center"/>
              <w:rPr>
                <w:rFonts w:ascii="宋体" w:hAnsi="宋体"/>
                <w:b/>
                <w:szCs w:val="21"/>
              </w:rPr>
            </w:pPr>
            <w:r>
              <w:rPr>
                <w:rFonts w:hint="eastAsia" w:ascii="宋体" w:hAnsi="宋体"/>
                <w:b/>
                <w:szCs w:val="21"/>
              </w:rPr>
              <w:t>序号</w:t>
            </w:r>
          </w:p>
        </w:tc>
        <w:tc>
          <w:tcPr>
            <w:tcW w:w="771" w:type="pct"/>
            <w:gridSpan w:val="2"/>
            <w:vAlign w:val="center"/>
          </w:tcPr>
          <w:p>
            <w:pPr>
              <w:spacing w:line="380" w:lineRule="atLeast"/>
              <w:jc w:val="center"/>
              <w:rPr>
                <w:rFonts w:ascii="宋体" w:hAnsi="宋体"/>
                <w:b/>
                <w:szCs w:val="21"/>
              </w:rPr>
            </w:pPr>
            <w:r>
              <w:rPr>
                <w:rFonts w:ascii="宋体" w:hAnsi="宋体"/>
                <w:b/>
                <w:szCs w:val="21"/>
              </w:rPr>
              <w:t>评分因素</w:t>
            </w:r>
          </w:p>
        </w:tc>
        <w:tc>
          <w:tcPr>
            <w:tcW w:w="558" w:type="pct"/>
            <w:vAlign w:val="center"/>
          </w:tcPr>
          <w:p>
            <w:pPr>
              <w:spacing w:line="380" w:lineRule="atLeast"/>
              <w:ind w:left="-105" w:leftChars="-50" w:right="-105" w:rightChars="-50"/>
              <w:jc w:val="center"/>
              <w:rPr>
                <w:rFonts w:ascii="宋体" w:hAnsi="宋体"/>
                <w:b/>
                <w:szCs w:val="21"/>
              </w:rPr>
            </w:pPr>
            <w:r>
              <w:rPr>
                <w:rFonts w:ascii="宋体" w:hAnsi="宋体"/>
                <w:b/>
                <w:szCs w:val="21"/>
              </w:rPr>
              <w:t>评分因素权重分值</w:t>
            </w:r>
          </w:p>
        </w:tc>
        <w:tc>
          <w:tcPr>
            <w:tcW w:w="1780" w:type="pct"/>
            <w:vAlign w:val="center"/>
          </w:tcPr>
          <w:p>
            <w:pPr>
              <w:spacing w:line="380" w:lineRule="atLeast"/>
              <w:jc w:val="center"/>
              <w:rPr>
                <w:rFonts w:ascii="宋体" w:hAnsi="宋体"/>
                <w:b/>
                <w:szCs w:val="21"/>
              </w:rPr>
            </w:pPr>
            <w:r>
              <w:rPr>
                <w:rFonts w:ascii="宋体" w:hAnsi="宋体"/>
                <w:b/>
                <w:szCs w:val="21"/>
              </w:rPr>
              <w:t>各评分因素细分项</w:t>
            </w:r>
          </w:p>
        </w:tc>
        <w:tc>
          <w:tcPr>
            <w:tcW w:w="434" w:type="pct"/>
            <w:vAlign w:val="center"/>
          </w:tcPr>
          <w:p>
            <w:pPr>
              <w:spacing w:line="380" w:lineRule="atLeast"/>
              <w:jc w:val="right"/>
              <w:rPr>
                <w:rFonts w:ascii="宋体" w:hAnsi="宋体"/>
                <w:b/>
                <w:szCs w:val="21"/>
              </w:rPr>
            </w:pPr>
            <w:r>
              <w:rPr>
                <w:rFonts w:ascii="宋体" w:hAnsi="宋体"/>
                <w:b/>
                <w:szCs w:val="21"/>
              </w:rPr>
              <w:t>分值</w:t>
            </w:r>
          </w:p>
        </w:tc>
        <w:tc>
          <w:tcPr>
            <w:tcW w:w="663" w:type="pct"/>
            <w:vMerge w:val="continue"/>
          </w:tcPr>
          <w:p>
            <w:pPr>
              <w:spacing w:line="380" w:lineRule="atLeas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restart"/>
            <w:vAlign w:val="center"/>
          </w:tcPr>
          <w:p>
            <w:pPr>
              <w:spacing w:line="380" w:lineRule="atLeast"/>
              <w:jc w:val="center"/>
              <w:rPr>
                <w:szCs w:val="21"/>
              </w:rPr>
            </w:pPr>
            <w:r>
              <w:rPr>
                <w:rFonts w:hint="eastAsia"/>
                <w:szCs w:val="21"/>
              </w:rPr>
              <w:t>1</w:t>
            </w:r>
          </w:p>
        </w:tc>
        <w:tc>
          <w:tcPr>
            <w:tcW w:w="771" w:type="pct"/>
            <w:gridSpan w:val="2"/>
            <w:vMerge w:val="restart"/>
            <w:vAlign w:val="center"/>
          </w:tcPr>
          <w:p>
            <w:pPr>
              <w:spacing w:line="380" w:lineRule="atLeast"/>
              <w:jc w:val="center"/>
              <w:rPr>
                <w:szCs w:val="21"/>
              </w:rPr>
            </w:pPr>
            <w:r>
              <w:rPr>
                <w:szCs w:val="21"/>
              </w:rPr>
              <w:t>施工组织设计</w:t>
            </w:r>
          </w:p>
        </w:tc>
        <w:tc>
          <w:tcPr>
            <w:tcW w:w="558" w:type="pct"/>
            <w:vMerge w:val="restart"/>
            <w:vAlign w:val="center"/>
          </w:tcPr>
          <w:p>
            <w:pPr>
              <w:wordWrap w:val="0"/>
              <w:spacing w:line="380" w:lineRule="atLeast"/>
              <w:jc w:val="right"/>
              <w:rPr>
                <w:szCs w:val="21"/>
                <w:u w:val="single"/>
              </w:rPr>
            </w:pPr>
            <w:r>
              <w:rPr>
                <w:rFonts w:hint="eastAsia"/>
                <w:szCs w:val="21"/>
                <w:u w:val="single"/>
              </w:rPr>
              <w:t xml:space="preserve">   </w:t>
            </w:r>
            <w:r>
              <w:rPr>
                <w:szCs w:val="21"/>
              </w:rPr>
              <w:t>分</w:t>
            </w:r>
          </w:p>
        </w:tc>
        <w:tc>
          <w:tcPr>
            <w:tcW w:w="1780" w:type="pct"/>
            <w:vAlign w:val="center"/>
          </w:tcPr>
          <w:p>
            <w:pPr>
              <w:spacing w:line="380" w:lineRule="atLeast"/>
              <w:ind w:firstLine="184" w:firstLineChars="88"/>
              <w:rPr>
                <w:szCs w:val="21"/>
              </w:rPr>
            </w:pPr>
            <w:r>
              <w:rPr>
                <w:rFonts w:hint="eastAsia"/>
                <w:szCs w:val="21"/>
              </w:rPr>
              <w:t>关键</w:t>
            </w:r>
            <w:r>
              <w:rPr>
                <w:szCs w:val="21"/>
              </w:rPr>
              <w:t>工程的施工方案、方法与技术措施</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vAlign w:val="center"/>
          </w:tcPr>
          <w:p>
            <w:pPr>
              <w:spacing w:line="380" w:lineRule="atLeas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rFonts w:eastAsia="隶书"/>
                <w:b/>
                <w:szCs w:val="21"/>
              </w:rPr>
            </w:pPr>
          </w:p>
        </w:tc>
        <w:tc>
          <w:tcPr>
            <w:tcW w:w="1780" w:type="pct"/>
          </w:tcPr>
          <w:p>
            <w:pPr>
              <w:spacing w:line="380" w:lineRule="atLeast"/>
              <w:ind w:firstLine="186" w:firstLineChars="89"/>
              <w:rPr>
                <w:szCs w:val="21"/>
              </w:rPr>
            </w:pPr>
            <w:r>
              <w:rPr>
                <w:szCs w:val="21"/>
              </w:rPr>
              <w:t>……</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vAlign w:val="center"/>
          </w:tcPr>
          <w:p>
            <w:pPr>
              <w:spacing w:line="380" w:lineRule="atLeast"/>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restart"/>
            <w:vAlign w:val="center"/>
          </w:tcPr>
          <w:p>
            <w:pPr>
              <w:spacing w:line="360" w:lineRule="atLeast"/>
              <w:ind w:left="-92" w:leftChars="-44" w:right="-88" w:rightChars="-42"/>
              <w:jc w:val="center"/>
              <w:rPr>
                <w:szCs w:val="21"/>
              </w:rPr>
            </w:pPr>
            <w:r>
              <w:rPr>
                <w:rFonts w:hint="eastAsia"/>
                <w:szCs w:val="21"/>
              </w:rPr>
              <w:t>2</w:t>
            </w:r>
          </w:p>
        </w:tc>
        <w:tc>
          <w:tcPr>
            <w:tcW w:w="771" w:type="pct"/>
            <w:gridSpan w:val="2"/>
            <w:vMerge w:val="restart"/>
            <w:vAlign w:val="center"/>
          </w:tcPr>
          <w:p>
            <w:pPr>
              <w:spacing w:line="360" w:lineRule="atLeast"/>
              <w:jc w:val="center"/>
              <w:rPr>
                <w:szCs w:val="21"/>
              </w:rPr>
            </w:pPr>
            <w:r>
              <w:rPr>
                <w:szCs w:val="21"/>
              </w:rPr>
              <w:t>主要人员</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vAlign w:val="center"/>
          </w:tcPr>
          <w:p>
            <w:pPr>
              <w:spacing w:line="380" w:lineRule="atLeast"/>
              <w:ind w:firstLine="186" w:firstLineChars="89"/>
              <w:rPr>
                <w:rFonts w:ascii="宋体" w:hAnsi="宋体"/>
                <w:szCs w:val="21"/>
              </w:rPr>
            </w:pPr>
            <w:r>
              <w:rPr>
                <w:rFonts w:ascii="宋体" w:hAnsi="宋体"/>
                <w:szCs w:val="21"/>
              </w:rPr>
              <w:t>项目经理任职资格与业绩</w:t>
            </w:r>
          </w:p>
        </w:tc>
        <w:tc>
          <w:tcPr>
            <w:tcW w:w="434" w:type="pct"/>
            <w:vAlign w:val="center"/>
          </w:tcPr>
          <w:p>
            <w:pPr>
              <w:wordWrap w:val="0"/>
              <w:spacing w:line="380" w:lineRule="atLeast"/>
              <w:jc w:val="right"/>
              <w:rPr>
                <w:rFonts w:ascii="宋体" w:hAnsi="宋体"/>
                <w:szCs w:val="21"/>
              </w:rPr>
            </w:pPr>
            <w:r>
              <w:rPr>
                <w:rFonts w:hint="eastAsia" w:ascii="宋体" w:hAnsi="宋体"/>
                <w:szCs w:val="21"/>
                <w:u w:val="single"/>
              </w:rPr>
              <w:t xml:space="preserve">   </w:t>
            </w:r>
            <w:r>
              <w:rPr>
                <w:rFonts w:ascii="宋体" w:hAnsi="宋体"/>
                <w:szCs w:val="21"/>
              </w:rPr>
              <w:t>分</w:t>
            </w:r>
          </w:p>
        </w:tc>
        <w:tc>
          <w:tcPr>
            <w:tcW w:w="663" w:type="pct"/>
            <w:vAlign w:val="center"/>
          </w:tcPr>
          <w:p>
            <w:pPr>
              <w:spacing w:line="380" w:lineRule="atLeast"/>
              <w:rPr>
                <w:rFonts w:ascii="宋体" w:hAnsi="宋体"/>
                <w:szCs w:val="21"/>
              </w:rPr>
            </w:pP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rFonts w:eastAsia="隶书"/>
                <w:b/>
                <w:szCs w:val="21"/>
              </w:rPr>
            </w:pPr>
          </w:p>
        </w:tc>
        <w:tc>
          <w:tcPr>
            <w:tcW w:w="1780" w:type="pct"/>
            <w:vAlign w:val="center"/>
          </w:tcPr>
          <w:p>
            <w:pPr>
              <w:spacing w:line="380" w:lineRule="atLeast"/>
              <w:ind w:firstLine="186" w:firstLineChars="89"/>
              <w:rPr>
                <w:rFonts w:ascii="宋体" w:hAnsi="宋体"/>
                <w:szCs w:val="21"/>
              </w:rPr>
            </w:pPr>
            <w:r>
              <w:rPr>
                <w:rFonts w:ascii="宋体" w:hAnsi="宋体"/>
                <w:szCs w:val="21"/>
              </w:rPr>
              <w:t>项目总工任职资格与业绩</w:t>
            </w:r>
          </w:p>
        </w:tc>
        <w:tc>
          <w:tcPr>
            <w:tcW w:w="434" w:type="pct"/>
            <w:vAlign w:val="center"/>
          </w:tcPr>
          <w:p>
            <w:pPr>
              <w:wordWrap w:val="0"/>
              <w:spacing w:line="380" w:lineRule="atLeast"/>
              <w:jc w:val="right"/>
              <w:rPr>
                <w:rFonts w:ascii="宋体" w:hAnsi="宋体"/>
                <w:szCs w:val="21"/>
              </w:rPr>
            </w:pPr>
            <w:r>
              <w:rPr>
                <w:rFonts w:hint="eastAsia" w:ascii="宋体" w:hAnsi="宋体"/>
                <w:szCs w:val="21"/>
                <w:u w:val="single"/>
              </w:rPr>
              <w:t xml:space="preserve">   </w:t>
            </w:r>
            <w:r>
              <w:rPr>
                <w:rFonts w:ascii="宋体" w:hAnsi="宋体"/>
                <w:szCs w:val="21"/>
              </w:rPr>
              <w:t>分</w:t>
            </w:r>
          </w:p>
        </w:tc>
        <w:tc>
          <w:tcPr>
            <w:tcW w:w="663" w:type="pct"/>
            <w:vAlign w:val="center"/>
          </w:tcPr>
          <w:p>
            <w:pPr>
              <w:spacing w:line="380" w:lineRule="atLeast"/>
              <w:rPr>
                <w:rFonts w:ascii="宋体" w:hAnsi="宋体"/>
                <w:szCs w:val="21"/>
              </w:rPr>
            </w:pP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794" w:type="pct"/>
            <w:vMerge w:val="continue"/>
            <w:vAlign w:val="center"/>
          </w:tcPr>
          <w:p>
            <w:pPr>
              <w:spacing w:line="380" w:lineRule="atLeast"/>
              <w:jc w:val="center"/>
              <w:rPr>
                <w:szCs w:val="21"/>
              </w:rPr>
            </w:pPr>
          </w:p>
        </w:tc>
        <w:tc>
          <w:tcPr>
            <w:tcW w:w="771" w:type="pct"/>
            <w:gridSpan w:val="2"/>
            <w:vMerge w:val="continue"/>
            <w:vAlign w:val="center"/>
          </w:tcPr>
          <w:p>
            <w:pPr>
              <w:spacing w:line="380" w:lineRule="atLeast"/>
              <w:jc w:val="center"/>
              <w:rPr>
                <w:szCs w:val="21"/>
              </w:rPr>
            </w:pPr>
          </w:p>
        </w:tc>
        <w:tc>
          <w:tcPr>
            <w:tcW w:w="558" w:type="pct"/>
            <w:vMerge w:val="continue"/>
            <w:vAlign w:val="center"/>
          </w:tcPr>
          <w:p>
            <w:pPr>
              <w:spacing w:line="380" w:lineRule="atLeast"/>
              <w:jc w:val="right"/>
              <w:rPr>
                <w:rFonts w:eastAsia="隶书"/>
                <w:b/>
                <w:szCs w:val="21"/>
              </w:rPr>
            </w:pPr>
          </w:p>
        </w:tc>
        <w:tc>
          <w:tcPr>
            <w:tcW w:w="1780" w:type="pct"/>
            <w:vAlign w:val="center"/>
          </w:tcPr>
          <w:p>
            <w:pPr>
              <w:spacing w:line="380" w:lineRule="atLeast"/>
              <w:ind w:firstLine="186" w:firstLineChars="89"/>
              <w:rPr>
                <w:rFonts w:ascii="宋体" w:hAnsi="宋体"/>
                <w:szCs w:val="21"/>
              </w:rPr>
            </w:pPr>
            <w:r>
              <w:rPr>
                <w:rFonts w:ascii="宋体" w:hAnsi="宋体"/>
                <w:szCs w:val="21"/>
              </w:rPr>
              <w:t>……</w:t>
            </w:r>
          </w:p>
        </w:tc>
        <w:tc>
          <w:tcPr>
            <w:tcW w:w="434" w:type="pct"/>
            <w:vAlign w:val="center"/>
          </w:tcPr>
          <w:p>
            <w:pPr>
              <w:wordWrap w:val="0"/>
              <w:spacing w:line="380" w:lineRule="atLeast"/>
              <w:jc w:val="right"/>
              <w:rPr>
                <w:rFonts w:ascii="宋体" w:hAnsi="宋体"/>
                <w:szCs w:val="21"/>
                <w:u w:val="single"/>
              </w:rPr>
            </w:pPr>
            <w:r>
              <w:rPr>
                <w:rFonts w:hint="eastAsia" w:ascii="宋体" w:hAnsi="宋体"/>
                <w:szCs w:val="21"/>
                <w:u w:val="single"/>
              </w:rPr>
              <w:t xml:space="preserve">   </w:t>
            </w:r>
            <w:r>
              <w:rPr>
                <w:rFonts w:ascii="宋体" w:hAnsi="宋体"/>
                <w:szCs w:val="21"/>
              </w:rPr>
              <w:t>分</w:t>
            </w:r>
          </w:p>
        </w:tc>
        <w:tc>
          <w:tcPr>
            <w:tcW w:w="663" w:type="pct"/>
            <w:vAlign w:val="center"/>
          </w:tcPr>
          <w:p>
            <w:pPr>
              <w:spacing w:line="380" w:lineRule="atLeast"/>
              <w:rPr>
                <w:rFonts w:ascii="宋体" w:hAnsi="宋体"/>
                <w:szCs w:val="21"/>
              </w:rPr>
            </w:pP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restart"/>
            <w:vAlign w:val="center"/>
          </w:tcPr>
          <w:p>
            <w:pPr>
              <w:spacing w:line="380" w:lineRule="atLeast"/>
              <w:jc w:val="center"/>
              <w:rPr>
                <w:szCs w:val="21"/>
              </w:rPr>
            </w:pPr>
            <w:r>
              <w:rPr>
                <w:rFonts w:hint="eastAsia"/>
                <w:szCs w:val="21"/>
              </w:rPr>
              <w:t>3</w:t>
            </w:r>
          </w:p>
        </w:tc>
        <w:tc>
          <w:tcPr>
            <w:tcW w:w="255" w:type="pct"/>
            <w:vMerge w:val="restart"/>
            <w:vAlign w:val="center"/>
          </w:tcPr>
          <w:p>
            <w:pPr>
              <w:spacing w:line="380" w:lineRule="atLeast"/>
              <w:jc w:val="center"/>
              <w:rPr>
                <w:szCs w:val="21"/>
              </w:rPr>
            </w:pPr>
            <w:r>
              <w:rPr>
                <w:szCs w:val="21"/>
              </w:rPr>
              <w:t>其他因素</w:t>
            </w:r>
          </w:p>
        </w:tc>
        <w:tc>
          <w:tcPr>
            <w:tcW w:w="516" w:type="pct"/>
            <w:vMerge w:val="restart"/>
            <w:vAlign w:val="center"/>
          </w:tcPr>
          <w:p>
            <w:pPr>
              <w:spacing w:line="380" w:lineRule="atLeast"/>
              <w:jc w:val="center"/>
              <w:rPr>
                <w:szCs w:val="21"/>
              </w:rPr>
            </w:pPr>
            <w:r>
              <w:rPr>
                <w:rFonts w:hint="eastAsia"/>
                <w:szCs w:val="21"/>
              </w:rPr>
              <w:t>技术</w:t>
            </w:r>
          </w:p>
          <w:p>
            <w:pPr>
              <w:spacing w:line="380" w:lineRule="atLeast"/>
              <w:jc w:val="center"/>
              <w:rPr>
                <w:szCs w:val="21"/>
              </w:rPr>
            </w:pPr>
            <w:r>
              <w:rPr>
                <w:szCs w:val="21"/>
              </w:rPr>
              <w:t>能力</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tcPr>
          <w:p>
            <w:pPr>
              <w:spacing w:line="380" w:lineRule="atLeast"/>
              <w:jc w:val="center"/>
              <w:rPr>
                <w:szCs w:val="21"/>
              </w:rPr>
            </w:pPr>
            <w:r>
              <w:rPr>
                <w:szCs w:val="21"/>
              </w:rPr>
              <w:t>……</w:t>
            </w:r>
          </w:p>
        </w:tc>
        <w:tc>
          <w:tcPr>
            <w:tcW w:w="434" w:type="pct"/>
            <w:vAlign w:val="center"/>
          </w:tcPr>
          <w:p>
            <w:pPr>
              <w:wordWrap w:val="0"/>
              <w:spacing w:line="380" w:lineRule="atLeast"/>
              <w:jc w:val="righ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vAlign w:val="center"/>
          </w:tcPr>
          <w:p>
            <w:pPr>
              <w:spacing w:line="380" w:lineRule="atLeast"/>
              <w:jc w:val="center"/>
              <w:rPr>
                <w:rFonts w:eastAsia="隶书"/>
                <w:szCs w:val="21"/>
              </w:rPr>
            </w:pPr>
          </w:p>
        </w:tc>
        <w:tc>
          <w:tcPr>
            <w:tcW w:w="516" w:type="pct"/>
            <w:vMerge w:val="continue"/>
            <w:vAlign w:val="center"/>
          </w:tcPr>
          <w:p>
            <w:pPr>
              <w:spacing w:line="380" w:lineRule="atLeast"/>
              <w:jc w:val="center"/>
              <w:rPr>
                <w:szCs w:val="21"/>
              </w:rPr>
            </w:pPr>
          </w:p>
        </w:tc>
        <w:tc>
          <w:tcPr>
            <w:tcW w:w="558" w:type="pct"/>
            <w:vMerge w:val="continue"/>
            <w:vAlign w:val="center"/>
          </w:tcPr>
          <w:p>
            <w:pPr>
              <w:spacing w:line="380" w:lineRule="atLeast"/>
              <w:jc w:val="right"/>
              <w:rPr>
                <w:szCs w:val="21"/>
              </w:rPr>
            </w:pPr>
          </w:p>
        </w:tc>
        <w:tc>
          <w:tcPr>
            <w:tcW w:w="1780" w:type="pct"/>
          </w:tcPr>
          <w:p>
            <w:pPr>
              <w:spacing w:line="380" w:lineRule="atLeast"/>
              <w:jc w:val="center"/>
              <w:rPr>
                <w:szCs w:val="21"/>
              </w:rPr>
            </w:pPr>
            <w:r>
              <w:rPr>
                <w:szCs w:val="21"/>
              </w:rPr>
              <w:t>……</w:t>
            </w:r>
          </w:p>
        </w:tc>
        <w:tc>
          <w:tcPr>
            <w:tcW w:w="434" w:type="pct"/>
            <w:vAlign w:val="center"/>
          </w:tcPr>
          <w:p>
            <w:pPr>
              <w:spacing w:line="380" w:lineRule="atLeas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vAlign w:val="center"/>
          </w:tcPr>
          <w:p>
            <w:pPr>
              <w:spacing w:line="380" w:lineRule="atLeast"/>
              <w:ind w:left="-105" w:leftChars="-50" w:right="-105" w:rightChars="-50"/>
              <w:jc w:val="center"/>
              <w:rPr>
                <w:rFonts w:eastAsia="隶书"/>
                <w:szCs w:val="21"/>
              </w:rPr>
            </w:pPr>
          </w:p>
        </w:tc>
        <w:tc>
          <w:tcPr>
            <w:tcW w:w="516" w:type="pct"/>
            <w:vMerge w:val="restart"/>
            <w:vAlign w:val="center"/>
          </w:tcPr>
          <w:p>
            <w:pPr>
              <w:spacing w:line="380" w:lineRule="atLeast"/>
              <w:ind w:left="-105" w:leftChars="-50" w:right="-105" w:rightChars="-50"/>
              <w:jc w:val="center"/>
              <w:rPr>
                <w:szCs w:val="21"/>
              </w:rPr>
            </w:pPr>
            <w:r>
              <w:rPr>
                <w:szCs w:val="21"/>
              </w:rPr>
              <w:t>履约信誉</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tcPr>
          <w:p>
            <w:pPr>
              <w:spacing w:line="380" w:lineRule="atLeast"/>
              <w:jc w:val="center"/>
              <w:rPr>
                <w:szCs w:val="21"/>
              </w:rPr>
            </w:pPr>
            <w:r>
              <w:rPr>
                <w:szCs w:val="21"/>
              </w:rPr>
              <w:t>……</w:t>
            </w:r>
          </w:p>
        </w:tc>
        <w:tc>
          <w:tcPr>
            <w:tcW w:w="434" w:type="pct"/>
            <w:vAlign w:val="center"/>
          </w:tcPr>
          <w:p>
            <w:pPr>
              <w:spacing w:line="380" w:lineRule="atLeas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vAlign w:val="center"/>
          </w:tcPr>
          <w:p>
            <w:pPr>
              <w:spacing w:line="380" w:lineRule="atLeast"/>
              <w:jc w:val="center"/>
              <w:rPr>
                <w:rFonts w:eastAsia="隶书"/>
                <w:szCs w:val="21"/>
              </w:rPr>
            </w:pPr>
          </w:p>
        </w:tc>
        <w:tc>
          <w:tcPr>
            <w:tcW w:w="516" w:type="pct"/>
            <w:vMerge w:val="continue"/>
            <w:vAlign w:val="center"/>
          </w:tcPr>
          <w:p>
            <w:pPr>
              <w:spacing w:line="380" w:lineRule="atLeast"/>
              <w:jc w:val="center"/>
              <w:rPr>
                <w:szCs w:val="21"/>
              </w:rPr>
            </w:pPr>
          </w:p>
        </w:tc>
        <w:tc>
          <w:tcPr>
            <w:tcW w:w="558" w:type="pct"/>
            <w:vMerge w:val="continue"/>
            <w:vAlign w:val="center"/>
          </w:tcPr>
          <w:p>
            <w:pPr>
              <w:spacing w:line="380" w:lineRule="atLeast"/>
              <w:jc w:val="right"/>
              <w:rPr>
                <w:b/>
                <w:szCs w:val="21"/>
              </w:rPr>
            </w:pPr>
          </w:p>
        </w:tc>
        <w:tc>
          <w:tcPr>
            <w:tcW w:w="1780" w:type="pct"/>
          </w:tcPr>
          <w:p>
            <w:pPr>
              <w:spacing w:line="380" w:lineRule="atLeast"/>
              <w:jc w:val="center"/>
              <w:rPr>
                <w:szCs w:val="21"/>
              </w:rPr>
            </w:pPr>
            <w:r>
              <w:rPr>
                <w:szCs w:val="21"/>
              </w:rPr>
              <w:t>……</w:t>
            </w:r>
          </w:p>
        </w:tc>
        <w:tc>
          <w:tcPr>
            <w:tcW w:w="434" w:type="pct"/>
            <w:vAlign w:val="center"/>
          </w:tcPr>
          <w:p>
            <w:pPr>
              <w:spacing w:line="380" w:lineRule="atLeas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tcPr>
          <w:p>
            <w:pPr>
              <w:spacing w:line="380" w:lineRule="atLeast"/>
              <w:jc w:val="center"/>
              <w:rPr>
                <w:rFonts w:eastAsia="隶书"/>
                <w:szCs w:val="21"/>
              </w:rPr>
            </w:pPr>
          </w:p>
        </w:tc>
        <w:tc>
          <w:tcPr>
            <w:tcW w:w="516" w:type="pct"/>
            <w:vMerge w:val="restart"/>
          </w:tcPr>
          <w:p>
            <w:pPr>
              <w:spacing w:line="380" w:lineRule="atLeast"/>
              <w:jc w:val="center"/>
              <w:rPr>
                <w:szCs w:val="21"/>
              </w:rPr>
            </w:pPr>
            <w:r>
              <w:rPr>
                <w:szCs w:val="21"/>
              </w:rPr>
              <w:t>……</w:t>
            </w:r>
          </w:p>
        </w:tc>
        <w:tc>
          <w:tcPr>
            <w:tcW w:w="558" w:type="pct"/>
            <w:vMerge w:val="restart"/>
            <w:vAlign w:val="center"/>
          </w:tcPr>
          <w:p>
            <w:pPr>
              <w:wordWrap w:val="0"/>
              <w:spacing w:line="380" w:lineRule="atLeast"/>
              <w:jc w:val="right"/>
              <w:rPr>
                <w:szCs w:val="21"/>
              </w:rPr>
            </w:pPr>
            <w:r>
              <w:rPr>
                <w:rFonts w:hint="eastAsia"/>
                <w:szCs w:val="21"/>
                <w:u w:val="single"/>
              </w:rPr>
              <w:t xml:space="preserve">   </w:t>
            </w:r>
            <w:r>
              <w:rPr>
                <w:szCs w:val="21"/>
              </w:rPr>
              <w:t>分</w:t>
            </w:r>
          </w:p>
        </w:tc>
        <w:tc>
          <w:tcPr>
            <w:tcW w:w="1780" w:type="pct"/>
          </w:tcPr>
          <w:p>
            <w:pPr>
              <w:spacing w:line="380" w:lineRule="atLeast"/>
              <w:jc w:val="center"/>
              <w:rPr>
                <w:szCs w:val="21"/>
              </w:rPr>
            </w:pPr>
            <w:r>
              <w:rPr>
                <w:szCs w:val="21"/>
              </w:rPr>
              <w:t>……</w:t>
            </w:r>
          </w:p>
        </w:tc>
        <w:tc>
          <w:tcPr>
            <w:tcW w:w="434" w:type="pct"/>
            <w:vAlign w:val="center"/>
          </w:tcPr>
          <w:p>
            <w:pPr>
              <w:spacing w:line="380" w:lineRule="atLeas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pct"/>
            <w:vMerge w:val="continue"/>
            <w:vAlign w:val="center"/>
          </w:tcPr>
          <w:p>
            <w:pPr>
              <w:spacing w:line="380" w:lineRule="atLeast"/>
              <w:jc w:val="center"/>
              <w:rPr>
                <w:rFonts w:eastAsia="隶书"/>
                <w:szCs w:val="21"/>
              </w:rPr>
            </w:pPr>
          </w:p>
        </w:tc>
        <w:tc>
          <w:tcPr>
            <w:tcW w:w="255" w:type="pct"/>
            <w:vMerge w:val="continue"/>
          </w:tcPr>
          <w:p>
            <w:pPr>
              <w:spacing w:line="380" w:lineRule="atLeast"/>
              <w:jc w:val="center"/>
              <w:rPr>
                <w:rFonts w:eastAsia="隶书"/>
                <w:szCs w:val="21"/>
              </w:rPr>
            </w:pPr>
          </w:p>
        </w:tc>
        <w:tc>
          <w:tcPr>
            <w:tcW w:w="516" w:type="pct"/>
            <w:vMerge w:val="continue"/>
          </w:tcPr>
          <w:p>
            <w:pPr>
              <w:spacing w:line="380" w:lineRule="atLeast"/>
              <w:jc w:val="center"/>
              <w:rPr>
                <w:szCs w:val="21"/>
              </w:rPr>
            </w:pPr>
          </w:p>
        </w:tc>
        <w:tc>
          <w:tcPr>
            <w:tcW w:w="558" w:type="pct"/>
            <w:vMerge w:val="continue"/>
            <w:vAlign w:val="center"/>
          </w:tcPr>
          <w:p>
            <w:pPr>
              <w:spacing w:line="380" w:lineRule="atLeast"/>
              <w:rPr>
                <w:szCs w:val="21"/>
                <w:u w:val="single"/>
              </w:rPr>
            </w:pPr>
          </w:p>
        </w:tc>
        <w:tc>
          <w:tcPr>
            <w:tcW w:w="1780" w:type="pct"/>
          </w:tcPr>
          <w:p>
            <w:pPr>
              <w:spacing w:line="380" w:lineRule="atLeast"/>
              <w:jc w:val="center"/>
              <w:rPr>
                <w:szCs w:val="21"/>
              </w:rPr>
            </w:pPr>
            <w:r>
              <w:rPr>
                <w:szCs w:val="21"/>
              </w:rPr>
              <w:t>……</w:t>
            </w:r>
          </w:p>
        </w:tc>
        <w:tc>
          <w:tcPr>
            <w:tcW w:w="434" w:type="pct"/>
            <w:vAlign w:val="center"/>
          </w:tcPr>
          <w:p>
            <w:pPr>
              <w:spacing w:line="380" w:lineRule="atLeast"/>
              <w:rPr>
                <w:szCs w:val="21"/>
              </w:rPr>
            </w:pPr>
            <w:r>
              <w:rPr>
                <w:rFonts w:hint="eastAsia"/>
                <w:szCs w:val="21"/>
                <w:u w:val="single"/>
              </w:rPr>
              <w:t xml:space="preserve">   </w:t>
            </w:r>
            <w:r>
              <w:rPr>
                <w:szCs w:val="21"/>
              </w:rPr>
              <w:t>分</w:t>
            </w:r>
          </w:p>
        </w:tc>
        <w:tc>
          <w:tcPr>
            <w:tcW w:w="663" w:type="pct"/>
          </w:tcPr>
          <w:p>
            <w:pPr>
              <w:spacing w:line="380" w:lineRule="atLeas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tcPr>
          <w:p>
            <w:pPr>
              <w:spacing w:line="380" w:lineRule="atLeast"/>
              <w:rPr>
                <w:szCs w:val="21"/>
              </w:rPr>
            </w:pPr>
            <w:r>
              <w:rPr>
                <w:szCs w:val="21"/>
              </w:rPr>
              <w:t>需要补充的其他内容：</w:t>
            </w:r>
          </w:p>
          <w:p>
            <w:pPr>
              <w:spacing w:line="380" w:lineRule="atLeast"/>
              <w:rPr>
                <w:szCs w:val="21"/>
              </w:rPr>
            </w:pPr>
            <w:r>
              <w:rPr>
                <w:szCs w:val="21"/>
              </w:rPr>
              <w:t>……</w:t>
            </w:r>
          </w:p>
        </w:tc>
      </w:tr>
    </w:tbl>
    <w:p>
      <w:pPr>
        <w:rPr>
          <w:rFonts w:asciiTheme="minorEastAsia" w:hAnsiTheme="minorEastAsia"/>
          <w:b/>
          <w:sz w:val="24"/>
        </w:rPr>
      </w:pPr>
    </w:p>
    <w:p>
      <w:pPr>
        <w:ind w:firstLine="482" w:firstLineChars="200"/>
        <w:rPr>
          <w:rFonts w:asciiTheme="minorEastAsia" w:hAnsiTheme="minorEastAsia"/>
          <w:b/>
          <w:color w:val="FF0000"/>
          <w:sz w:val="24"/>
        </w:rPr>
      </w:pPr>
      <w:r>
        <w:rPr>
          <w:rFonts w:hint="eastAsia" w:asciiTheme="minorEastAsia" w:hAnsiTheme="minorEastAsia" w:eastAsiaTheme="minorEastAsia"/>
          <w:b/>
          <w:color w:val="FF0000"/>
          <w:sz w:val="24"/>
        </w:rPr>
        <w:t>技术资信评分、报价评分因素设置说明：</w:t>
      </w:r>
    </w:p>
    <w:p>
      <w:pPr>
        <w:ind w:firstLine="480" w:firstLineChars="200"/>
        <w:rPr>
          <w:rFonts w:asciiTheme="minorEastAsia" w:hAnsiTheme="minorEastAsia"/>
          <w:color w:val="FF0000"/>
          <w:sz w:val="24"/>
        </w:rPr>
      </w:pPr>
      <w:r>
        <w:rPr>
          <w:rFonts w:hint="eastAsia" w:asciiTheme="minorEastAsia" w:hAnsiTheme="minorEastAsia" w:eastAsiaTheme="minorEastAsia"/>
          <w:color w:val="FF0000"/>
          <w:sz w:val="24"/>
        </w:rPr>
        <w:t>①各评分因素权重分值范围如下：施工组织设计25~40分；主要人员25~40分；技术能力10~20分；履约信誉15~25分。投标人技术资信评分分值计算保留小数点后两位，小数点后第三位“四舍五入”。</w:t>
      </w:r>
    </w:p>
    <w:p>
      <w:pPr>
        <w:ind w:firstLine="480" w:firstLineChars="200"/>
        <w:rPr>
          <w:rFonts w:asciiTheme="minorEastAsia" w:hAnsiTheme="minorEastAsia"/>
          <w:color w:val="FF0000"/>
          <w:sz w:val="24"/>
        </w:rPr>
      </w:pPr>
      <w:r>
        <w:rPr>
          <w:rFonts w:hint="eastAsia" w:asciiTheme="minorEastAsia" w:hAnsiTheme="minorEastAsia" w:eastAsiaTheme="minorEastAsia"/>
          <w:color w:val="FF0000"/>
          <w:sz w:val="24"/>
        </w:rPr>
        <w:t>②技术资信评分表中的“技术能力”指投标人的科研开发和技术创新能力，招标人可结合招标项目的具体情况提出相关要求，包括投标人获得的与项目施工有关的国家级工法、专利（发明专利或实用新型专利）、国家或省级科学技术进步奖，主编或参编过的国家、行业或地方标准等。</w:t>
      </w:r>
    </w:p>
    <w:p>
      <w:pPr>
        <w:ind w:firstLine="480" w:firstLineChars="200"/>
        <w:rPr>
          <w:rFonts w:asciiTheme="minorEastAsia" w:hAnsiTheme="minorEastAsia"/>
          <w:color w:val="FF0000"/>
          <w:sz w:val="24"/>
        </w:rPr>
      </w:pPr>
      <w:r>
        <w:rPr>
          <w:rFonts w:hint="eastAsia" w:asciiTheme="minorEastAsia" w:hAnsiTheme="minorEastAsia" w:eastAsiaTheme="minorEastAsia"/>
          <w:color w:val="FF0000"/>
          <w:sz w:val="24"/>
        </w:rPr>
        <w:t>③招标人应根据项目具体情况确定各评分因素及评分因素权重分值，并对各评分因素进行细分（如有）、确定各评分因素细分项的分值，各评分因素权重分值合计应为100分。各评分因素（评标价和履约信誉评分项除外）得分一般不得低于其权重分值的60%，且各评分因素得分应以评标委员会各成员的打分平均值确定，评标委员会成员总数为7人以上时，该平均值以去掉一个最高分和一个最低分后计算。评标委员会成员对某一项评分因素的评分低于权重分值60%的，应在评标报告中作出说明。</w:t>
      </w:r>
    </w:p>
    <w:p>
      <w:pPr>
        <w:ind w:firstLine="480" w:firstLineChars="200"/>
        <w:rPr>
          <w:rFonts w:asciiTheme="minorEastAsia" w:hAnsiTheme="minorEastAsia"/>
          <w:color w:val="FF0000"/>
          <w:sz w:val="24"/>
        </w:rPr>
      </w:pPr>
      <w:r>
        <w:rPr>
          <w:rFonts w:hint="eastAsia" w:asciiTheme="minorEastAsia" w:hAnsiTheme="minorEastAsia" w:eastAsiaTheme="minorEastAsia"/>
          <w:color w:val="FF0000"/>
          <w:sz w:val="24"/>
        </w:rPr>
        <w:t>④招标人应列明各评分因素或各评分因素细分项（如有）的评分标准并作为评标委员会进行评分的依据。</w:t>
      </w:r>
    </w:p>
    <w:p>
      <w:pPr>
        <w:ind w:firstLine="480" w:firstLineChars="200"/>
        <w:rPr>
          <w:rFonts w:asciiTheme="minorEastAsia" w:hAnsiTheme="minorEastAsia"/>
          <w:color w:val="FF0000"/>
          <w:sz w:val="24"/>
        </w:rPr>
      </w:pPr>
      <w:r>
        <w:rPr>
          <w:rFonts w:hint="eastAsia" w:asciiTheme="minorEastAsia" w:hAnsiTheme="minorEastAsia" w:eastAsiaTheme="minorEastAsia"/>
          <w:color w:val="FF0000"/>
          <w:sz w:val="24"/>
        </w:rPr>
        <w:t>⑤针对履约信誉进行评分时，招标人可结合招标项目所在地省级交通运输主管部门对投标人的信用评级对其履约信用进行评分，但不得任意设置歧视性条款并不得任意设立行政许可。</w:t>
      </w:r>
    </w:p>
    <w:p>
      <w:pPr>
        <w:ind w:firstLine="480" w:firstLineChars="200"/>
        <w:rPr>
          <w:rFonts w:ascii="宋体" w:hAnsi="宋体"/>
        </w:rPr>
      </w:pPr>
      <w:r>
        <w:rPr>
          <w:rFonts w:hint="eastAsia" w:asciiTheme="minorEastAsia" w:hAnsiTheme="minorEastAsia" w:eastAsiaTheme="minorEastAsia"/>
          <w:color w:val="FF0000"/>
          <w:sz w:val="24"/>
        </w:rPr>
        <w:t>⑥评分因素具体以招标文件编制内容为准。</w:t>
      </w:r>
    </w:p>
    <w:p>
      <w:pPr>
        <w:ind w:firstLine="480" w:firstLineChars="200"/>
        <w:rPr>
          <w:rFonts w:asciiTheme="minorEastAsia" w:hAnsiTheme="minorEastAsia" w:eastAsiaTheme="minorEastAsia"/>
          <w:sz w:val="24"/>
        </w:rPr>
      </w:pPr>
      <w:r>
        <w:rPr>
          <w:rFonts w:hint="eastAsia" w:asciiTheme="minorEastAsia" w:hAnsiTheme="minorEastAsia" w:eastAsiaTheme="minorEastAsia"/>
          <w:sz w:val="24"/>
        </w:rPr>
        <w:t>⑦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p>
      <w:pPr>
        <w:ind w:firstLine="480" w:firstLineChars="200"/>
        <w:rPr>
          <w:rFonts w:ascii="仿宋_GB2312" w:hAnsi="宋体" w:eastAsia="仿宋_GB2312"/>
          <w:color w:val="000000"/>
          <w:sz w:val="24"/>
        </w:rPr>
      </w:pPr>
    </w:p>
    <w:p>
      <w:pPr>
        <w:ind w:firstLine="480" w:firstLineChars="200"/>
        <w:rPr>
          <w:rFonts w:ascii="仿宋_GB2312" w:hAnsi="宋体" w:eastAsia="仿宋_GB2312"/>
          <w:color w:val="000000"/>
          <w:sz w:val="24"/>
        </w:rPr>
      </w:pPr>
      <w:r>
        <w:rPr>
          <w:rFonts w:hint="eastAsia" w:ascii="仿宋_GB2312" w:hAnsi="宋体" w:eastAsia="仿宋_GB2312"/>
          <w:color w:val="000000"/>
          <w:sz w:val="24"/>
        </w:rPr>
        <w:t>当有效投标家数5家（含）以下时，对总分按从高到低的顺序依次选出三家投标人入围（分数相同者同时入围，如得分第一名的投标单位已满足入围三家，不再取第二、第三名入围；如得分第一、二名的投标单位已满足三家，不再取第三名入围；下同）。</w:t>
      </w:r>
    </w:p>
    <w:p>
      <w:pPr>
        <w:ind w:firstLine="480" w:firstLineChars="200"/>
        <w:rPr>
          <w:rFonts w:ascii="仿宋_GB2312" w:hAnsi="宋体" w:eastAsia="仿宋_GB2312"/>
          <w:color w:val="000000"/>
          <w:sz w:val="24"/>
        </w:rPr>
      </w:pPr>
      <w:r>
        <w:rPr>
          <w:rFonts w:hint="eastAsia" w:ascii="仿宋_GB2312" w:hAnsi="宋体" w:eastAsia="仿宋_GB2312"/>
          <w:color w:val="000000"/>
          <w:sz w:val="24"/>
        </w:rPr>
        <w:t>当有效投标家数6家—10家（含）时，对总分按从高到低的顺序依次选出五名投标人入围商务报价评审（分数相同者同时入围）。</w:t>
      </w:r>
    </w:p>
    <w:p>
      <w:pPr>
        <w:ind w:firstLine="480" w:firstLineChars="200"/>
        <w:rPr>
          <w:rFonts w:ascii="仿宋_GB2312" w:hAnsi="宋体" w:eastAsia="仿宋_GB2312"/>
          <w:color w:val="000000"/>
          <w:sz w:val="24"/>
        </w:rPr>
      </w:pPr>
      <w:r>
        <w:rPr>
          <w:rFonts w:hint="eastAsia" w:ascii="仿宋_GB2312" w:hAnsi="宋体" w:eastAsia="仿宋_GB2312"/>
          <w:color w:val="000000"/>
          <w:sz w:val="24"/>
        </w:rPr>
        <w:t>当有效投标家数10家以上时，对总分按从高到低的顺序依次选出七名投标人入围商务报价评审（分数相同者同时入围）。</w:t>
      </w:r>
    </w:p>
    <w:p>
      <w:pPr>
        <w:ind w:firstLine="480" w:firstLineChars="200"/>
        <w:rPr>
          <w:rFonts w:ascii="仿宋_GB2312" w:hAnsi="宋体" w:eastAsia="仿宋_GB2312"/>
          <w:color w:val="000000"/>
          <w:sz w:val="24"/>
        </w:rPr>
      </w:pPr>
      <w:r>
        <w:rPr>
          <w:rFonts w:hint="eastAsia" w:ascii="仿宋_GB2312" w:hAnsi="宋体" w:eastAsia="仿宋_GB2312"/>
          <w:color w:val="000000"/>
          <w:sz w:val="24"/>
        </w:rPr>
        <w:t>仅对进入商务报价评审的投标人公开唱标，将入围的投标人商务报价提交评标委员会评审，若入围的投标人商务报价经评审判定无效，则按评审得分从高到低依次递补，对递补入围的投标人商务报价公开唱标，直至通过评审的投标人全部递补。</w:t>
      </w:r>
    </w:p>
    <w:p>
      <w:pPr>
        <w:ind w:firstLine="480" w:firstLineChars="200"/>
        <w:rPr>
          <w:rFonts w:ascii="黑体" w:hAnsi="黑体" w:eastAsia="黑体"/>
          <w:color w:val="000000"/>
          <w:sz w:val="24"/>
        </w:rPr>
      </w:pPr>
      <w:r>
        <w:rPr>
          <w:rFonts w:hint="eastAsia" w:ascii="黑体" w:hAnsi="黑体" w:eastAsia="黑体"/>
          <w:color w:val="000000"/>
          <w:sz w:val="24"/>
        </w:rPr>
        <w:t>评标基准价计算：评标价＝投标函文字报价</w:t>
      </w:r>
    </w:p>
    <w:p>
      <w:pPr>
        <w:ind w:firstLine="480" w:firstLineChars="200"/>
        <w:rPr>
          <w:rFonts w:ascii="黑体" w:hAnsi="黑体" w:eastAsia="黑体"/>
          <w:color w:val="000000"/>
          <w:sz w:val="24"/>
        </w:rPr>
      </w:pPr>
      <w:r>
        <w:rPr>
          <w:rFonts w:hint="eastAsia" w:ascii="黑体" w:hAnsi="黑体" w:eastAsia="黑体"/>
          <w:color w:val="000000"/>
          <w:sz w:val="24"/>
        </w:rPr>
        <w:t>商务报价评审有效的投标单位，报价算术平均值B（小数点后保留2位小数，四舍五入）作为该项目的评标基准价，投标报价偏差A=|投标单位报价-B|，按照投标报价偏差A由小到大的顺序推荐1-3名中标候选人。</w:t>
      </w:r>
    </w:p>
    <w:p>
      <w:pPr>
        <w:ind w:firstLine="480" w:firstLineChars="200"/>
        <w:rPr>
          <w:rFonts w:ascii="黑体" w:hAnsi="黑体" w:eastAsia="黑体"/>
          <w:color w:val="000000"/>
          <w:sz w:val="24"/>
        </w:rPr>
      </w:pPr>
      <w:r>
        <w:rPr>
          <w:rFonts w:hint="eastAsia" w:ascii="黑体" w:hAnsi="黑体" w:eastAsia="黑体"/>
          <w:color w:val="000000"/>
          <w:sz w:val="24"/>
        </w:rPr>
        <w:t>若不同的投标人A相同，则评标委员会依次按照以下优先顺序推荐中标候选人：</w:t>
      </w:r>
    </w:p>
    <w:p>
      <w:pPr>
        <w:ind w:firstLine="480" w:firstLineChars="200"/>
        <w:rPr>
          <w:rFonts w:ascii="黑体" w:hAnsi="黑体" w:eastAsia="黑体"/>
          <w:color w:val="000000"/>
          <w:sz w:val="24"/>
        </w:rPr>
      </w:pPr>
      <w:r>
        <w:rPr>
          <w:rFonts w:hint="eastAsia" w:ascii="黑体" w:hAnsi="黑体" w:eastAsia="黑体"/>
          <w:color w:val="000000"/>
          <w:sz w:val="24"/>
        </w:rPr>
        <w:t>①投标报价低的投标人优先；</w:t>
      </w:r>
    </w:p>
    <w:p>
      <w:pPr>
        <w:ind w:firstLine="480" w:firstLineChars="200"/>
        <w:rPr>
          <w:rFonts w:ascii="黑体" w:hAnsi="黑体" w:eastAsia="黑体"/>
          <w:color w:val="000000"/>
          <w:sz w:val="24"/>
        </w:rPr>
      </w:pPr>
      <w:r>
        <w:rPr>
          <w:rFonts w:hint="eastAsia" w:ascii="黑体" w:hAnsi="黑体" w:eastAsia="黑体"/>
          <w:color w:val="000000"/>
          <w:sz w:val="24"/>
        </w:rPr>
        <w:t>②被招标项目所在地省级交通运输主管部门评为较高信用等级的投标人优先；</w:t>
      </w:r>
    </w:p>
    <w:p>
      <w:pPr>
        <w:ind w:firstLine="480" w:firstLineChars="200"/>
        <w:rPr>
          <w:rFonts w:ascii="黑体" w:hAnsi="黑体" w:eastAsia="黑体"/>
          <w:color w:val="000000"/>
          <w:sz w:val="24"/>
        </w:rPr>
      </w:pPr>
      <w:r>
        <w:rPr>
          <w:rFonts w:hint="eastAsia" w:ascii="黑体" w:hAnsi="黑体" w:eastAsia="黑体"/>
          <w:color w:val="000000"/>
          <w:sz w:val="24"/>
        </w:rPr>
        <w:t>③技术资信得分较高的投标人优先；</w:t>
      </w:r>
    </w:p>
    <w:p>
      <w:pPr>
        <w:ind w:firstLine="480" w:firstLineChars="200"/>
        <w:rPr>
          <w:rFonts w:ascii="黑体" w:hAnsi="黑体" w:eastAsia="黑体"/>
          <w:color w:val="000000"/>
          <w:sz w:val="24"/>
        </w:rPr>
      </w:pPr>
      <w:r>
        <w:rPr>
          <w:rFonts w:hint="eastAsia" w:ascii="黑体" w:hAnsi="黑体" w:eastAsia="黑体"/>
          <w:color w:val="000000"/>
          <w:sz w:val="24"/>
        </w:rPr>
        <w:t>④……</w:t>
      </w:r>
    </w:p>
    <w:p>
      <w:pPr>
        <w:ind w:firstLine="480" w:firstLineChars="200"/>
        <w:rPr>
          <w:rFonts w:ascii="黑体" w:hAnsi="黑体" w:eastAsia="黑体"/>
          <w:color w:val="000000"/>
          <w:sz w:val="24"/>
        </w:rPr>
      </w:pPr>
      <w:r>
        <w:rPr>
          <w:rFonts w:hint="eastAsia" w:ascii="黑体" w:hAnsi="宋体" w:eastAsia="黑体"/>
          <w:sz w:val="24"/>
        </w:rPr>
        <w:t>按上述规则不能确定中标人的，</w:t>
      </w:r>
      <w:r>
        <w:rPr>
          <w:rFonts w:ascii="黑体" w:hAnsi="宋体" w:eastAsia="黑体"/>
          <w:sz w:val="24"/>
        </w:rPr>
        <w:t>由招标人代表现场随机确定中标候选人排序</w:t>
      </w:r>
      <w:r>
        <w:rPr>
          <w:rFonts w:hint="eastAsia" w:ascii="黑体" w:hAnsi="宋体" w:eastAsia="黑体"/>
          <w:sz w:val="24"/>
        </w:rPr>
        <w:t>。</w:t>
      </w:r>
    </w:p>
    <w:p>
      <w:pPr>
        <w:ind w:firstLine="480" w:firstLineChars="200"/>
        <w:rPr>
          <w:rFonts w:ascii="黑体" w:hAnsi="黑体" w:eastAsia="黑体"/>
          <w:color w:val="000000"/>
          <w:sz w:val="24"/>
        </w:rPr>
      </w:pPr>
      <w:r>
        <w:rPr>
          <w:rFonts w:hint="eastAsia" w:ascii="黑体" w:hAnsi="黑体" w:eastAsia="黑体"/>
          <w:color w:val="000000"/>
          <w:sz w:val="24"/>
        </w:rPr>
        <w:t>投标文件中有含义不明确的内容、明显文字或者计算错误，评标委员会认为需要投标人作出必要澄清、说明的，评标委员会应主动向投标人询标，并对询标的内容填表记录。投标人的澄清、说明应当采用招标文件规定的形式，并不得超出投标文件的范围或者改变投标文件的实质性内容。评标委员会不得暗示或者诱导投标人作出澄清、说明，不得接受投标人主动提出的澄清、说明。</w:t>
      </w:r>
    </w:p>
    <w:p>
      <w:pPr>
        <w:ind w:firstLine="480" w:firstLineChars="200"/>
        <w:rPr>
          <w:rFonts w:ascii="黑体" w:hAnsi="黑体" w:eastAsia="黑体"/>
          <w:color w:val="000000"/>
          <w:sz w:val="24"/>
        </w:rPr>
      </w:pPr>
      <w:r>
        <w:rPr>
          <w:rFonts w:hint="eastAsia" w:ascii="黑体" w:hAnsi="黑体" w:eastAsia="黑体"/>
          <w:color w:val="000000"/>
          <w:sz w:val="24"/>
        </w:rPr>
        <w:t>评委会在评标过程中发现的问题，应当及时作出处理或者向招标人提出处理建议，并作书面记录。</w:t>
      </w:r>
    </w:p>
    <w:permEnd w:id="88"/>
    <w:p>
      <w:pPr>
        <w:spacing w:line="360" w:lineRule="exact"/>
        <w:ind w:firstLine="480" w:firstLineChars="200"/>
        <w:rPr>
          <w:rFonts w:ascii="仿宋_GB2312" w:hAnsi="宋体" w:eastAsia="仿宋_GB2312"/>
          <w:color w:val="000000"/>
          <w:sz w:val="24"/>
        </w:rPr>
        <w:sectPr>
          <w:pgSz w:w="11907" w:h="16840"/>
          <w:pgMar w:top="1077" w:right="1134" w:bottom="1077" w:left="1134" w:header="680" w:footer="907" w:gutter="0"/>
          <w:cols w:space="720" w:num="1"/>
          <w:docGrid w:linePitch="271" w:charSpace="0"/>
        </w:sectPr>
      </w:pPr>
    </w:p>
    <w:p>
      <w:pPr>
        <w:spacing w:line="300" w:lineRule="exact"/>
        <w:ind w:firstLine="472" w:firstLineChars="196"/>
        <w:rPr>
          <w:b/>
          <w:bCs/>
          <w:color w:val="0000FF"/>
          <w:sz w:val="24"/>
          <w:u w:val="double"/>
        </w:rPr>
      </w:pPr>
      <w:permStart w:id="89" w:edGrp="everyone"/>
      <w:r>
        <w:rPr>
          <w:rFonts w:hint="eastAsia"/>
          <w:b/>
          <w:bCs/>
          <w:color w:val="0000FF"/>
          <w:sz w:val="24"/>
          <w:u w:val="double"/>
        </w:rPr>
        <w:t>34.2.3商务标评审</w:t>
      </w:r>
    </w:p>
    <w:p>
      <w:pPr>
        <w:spacing w:line="300" w:lineRule="exact"/>
        <w:ind w:firstLine="472" w:firstLineChars="196"/>
        <w:rPr>
          <w:rFonts w:ascii="仿宋_GB2312" w:eastAsia="仿宋_GB2312"/>
          <w:b/>
          <w:bCs/>
          <w:color w:val="0000FF"/>
          <w:sz w:val="28"/>
          <w:szCs w:val="28"/>
        </w:rPr>
      </w:pPr>
      <w:r>
        <w:rPr>
          <w:rFonts w:hint="eastAsia"/>
          <w:b/>
          <w:bCs/>
          <w:color w:val="0000FF"/>
          <w:sz w:val="24"/>
          <w:u w:val="double"/>
        </w:rPr>
        <w:t>商务标按照以下要求进行评审，评审办法如下：</w:t>
      </w:r>
    </w:p>
    <w:p>
      <w:pPr>
        <w:spacing w:line="360" w:lineRule="exact"/>
        <w:ind w:firstLine="640"/>
        <w:rPr>
          <w:rFonts w:ascii="仿宋_GB2312" w:hAnsi="宋体" w:eastAsia="仿宋_GB2312"/>
          <w:b/>
          <w:bCs/>
          <w:sz w:val="24"/>
        </w:rPr>
      </w:pPr>
      <w:r>
        <w:rPr>
          <w:rFonts w:hint="eastAsia" w:ascii="仿宋_GB2312" w:hAnsi="宋体" w:eastAsia="仿宋_GB2312"/>
          <w:b/>
          <w:bCs/>
          <w:sz w:val="24"/>
        </w:rPr>
        <w:t>商务标评审</w:t>
      </w:r>
    </w:p>
    <w:p>
      <w:pPr>
        <w:spacing w:line="360" w:lineRule="exact"/>
        <w:ind w:firstLine="640"/>
        <w:rPr>
          <w:rFonts w:ascii="仿宋_GB2312" w:hAnsi="宋体" w:eastAsia="仿宋_GB2312"/>
          <w:sz w:val="24"/>
        </w:rPr>
      </w:pPr>
      <w:r>
        <w:rPr>
          <w:rFonts w:hint="eastAsia" w:ascii="仿宋_GB2312" w:hAnsi="宋体" w:eastAsia="仿宋_GB2312"/>
          <w:sz w:val="24"/>
        </w:rPr>
        <w:t>34.2.3.1 投标人商务标筛选</w:t>
      </w:r>
    </w:p>
    <w:p>
      <w:pPr>
        <w:spacing w:line="360" w:lineRule="exact"/>
        <w:ind w:firstLine="640"/>
        <w:rPr>
          <w:rFonts w:ascii="仿宋_GB2312" w:hAnsi="宋体" w:eastAsia="仿宋_GB2312"/>
          <w:sz w:val="24"/>
        </w:rPr>
      </w:pPr>
      <w:r>
        <w:rPr>
          <w:rFonts w:hint="eastAsia" w:ascii="仿宋_GB2312" w:hAnsi="宋体" w:eastAsia="仿宋_GB2312"/>
          <w:sz w:val="24"/>
        </w:rPr>
        <w:t>投标人商务标筛选指通过电子清标、修正评审两方面对各投标人商务标符合性进行评审，对不满足评审要求的投标报价作出无效判定，通过评审的各投标人报价作为详细评审的平均单价计算依据。</w:t>
      </w:r>
    </w:p>
    <w:p>
      <w:pPr>
        <w:ind w:firstLine="480" w:firstLineChars="200"/>
        <w:jc w:val="left"/>
        <w:rPr>
          <w:rFonts w:ascii="仿宋_GB2312" w:hAnsi="宋体" w:eastAsia="仿宋_GB2312"/>
          <w:sz w:val="24"/>
        </w:rPr>
      </w:pPr>
      <w:r>
        <w:rPr>
          <w:rFonts w:hint="eastAsia" w:ascii="仿宋_GB2312" w:hAnsi="宋体" w:eastAsia="仿宋_GB2312"/>
          <w:sz w:val="24"/>
        </w:rPr>
        <w:t>A、清标</w:t>
      </w:r>
    </w:p>
    <w:p>
      <w:pPr>
        <w:ind w:firstLine="480" w:firstLineChars="200"/>
        <w:jc w:val="left"/>
        <w:rPr>
          <w:rFonts w:ascii="仿宋_GB2312" w:hAnsi="宋体" w:eastAsia="仿宋_GB2312"/>
          <w:sz w:val="24"/>
        </w:rPr>
      </w:pPr>
      <w:r>
        <w:rPr>
          <w:rFonts w:hint="eastAsia" w:ascii="仿宋_GB2312" w:hAnsi="宋体" w:eastAsia="仿宋_GB2312"/>
          <w:sz w:val="24"/>
        </w:rPr>
        <w:t>⑴清标是指</w:t>
      </w:r>
      <w:r>
        <w:rPr>
          <w:rFonts w:hint="eastAsia" w:ascii="仿宋_GB2312" w:hAnsi="宋体" w:eastAsia="仿宋_GB2312"/>
          <w:sz w:val="24"/>
          <w:highlight w:val="yellow"/>
        </w:rPr>
        <w:t>对通过资格审查的各投标人</w:t>
      </w:r>
      <w:r>
        <w:rPr>
          <w:rFonts w:hint="eastAsia" w:ascii="仿宋_GB2312" w:hAnsi="宋体" w:eastAsia="仿宋_GB2312"/>
          <w:sz w:val="24"/>
        </w:rPr>
        <w:t>的工程量清单投标报价采用核对、比较、筛选等方法，对基础性数据进行分析和整理。其目的是找出投标文件中可能存在疑义或者显著异常的数据，为评审中的质疑工作</w:t>
      </w:r>
      <w:r>
        <w:rPr>
          <w:rFonts w:hint="eastAsia" w:ascii="仿宋_GB2312" w:hAnsi="宋体" w:eastAsia="仿宋_GB2312"/>
          <w:sz w:val="24"/>
          <w:highlight w:val="yellow"/>
        </w:rPr>
        <w:t>和平均价计算依据</w:t>
      </w:r>
      <w:r>
        <w:rPr>
          <w:rFonts w:hint="eastAsia" w:ascii="仿宋_GB2312" w:hAnsi="宋体" w:eastAsia="仿宋_GB2312"/>
          <w:sz w:val="24"/>
        </w:rPr>
        <w:t>提供基础。</w:t>
      </w:r>
    </w:p>
    <w:p>
      <w:pPr>
        <w:ind w:firstLine="480" w:firstLineChars="200"/>
        <w:jc w:val="left"/>
        <w:rPr>
          <w:rFonts w:ascii="仿宋_GB2312" w:hAnsi="宋体" w:eastAsia="仿宋_GB2312"/>
          <w:sz w:val="24"/>
        </w:rPr>
      </w:pPr>
      <w:r>
        <w:rPr>
          <w:rFonts w:hint="eastAsia" w:ascii="仿宋_GB2312" w:hAnsi="宋体" w:eastAsia="仿宋_GB2312"/>
          <w:sz w:val="24"/>
        </w:rPr>
        <w:t>⑵清标工作使用计算机评标系统辅助评标委员会完成。</w:t>
      </w:r>
    </w:p>
    <w:p>
      <w:pPr>
        <w:ind w:firstLine="480" w:firstLineChars="200"/>
        <w:jc w:val="left"/>
        <w:rPr>
          <w:rFonts w:ascii="仿宋_GB2312" w:hAnsi="宋体" w:eastAsia="仿宋_GB2312"/>
          <w:sz w:val="24"/>
        </w:rPr>
      </w:pPr>
      <w:r>
        <w:rPr>
          <w:rFonts w:hint="eastAsia" w:ascii="仿宋_GB2312" w:hAnsi="宋体" w:eastAsia="仿宋_GB2312"/>
          <w:sz w:val="24"/>
        </w:rPr>
        <w:t>⑶清标的内容和步骤。</w:t>
      </w:r>
    </w:p>
    <w:p>
      <w:pPr>
        <w:ind w:firstLine="480" w:firstLineChars="200"/>
        <w:jc w:val="left"/>
        <w:rPr>
          <w:rFonts w:ascii="仿宋_GB2312" w:hAnsi="宋体" w:eastAsia="仿宋_GB2312"/>
          <w:sz w:val="24"/>
        </w:rPr>
      </w:pPr>
      <w:r>
        <w:rPr>
          <w:rFonts w:hint="eastAsia" w:ascii="仿宋_GB2312" w:hAnsi="宋体" w:eastAsia="仿宋_GB2312"/>
          <w:sz w:val="24"/>
        </w:rPr>
        <w:t>①投标文件在符合性、响应性等方面存在的偏差。</w:t>
      </w:r>
    </w:p>
    <w:p>
      <w:pPr>
        <w:ind w:firstLine="480" w:firstLineChars="200"/>
        <w:jc w:val="left"/>
        <w:rPr>
          <w:rFonts w:ascii="仿宋_GB2312" w:hAnsi="宋体" w:eastAsia="仿宋_GB2312"/>
          <w:sz w:val="24"/>
        </w:rPr>
      </w:pPr>
      <w:r>
        <w:rPr>
          <w:rFonts w:hint="eastAsia" w:ascii="仿宋_GB2312" w:hAnsi="宋体" w:eastAsia="仿宋_GB2312"/>
          <w:sz w:val="24"/>
        </w:rPr>
        <w:t>②投标文件存在的算术计算错误和修正结果。</w:t>
      </w:r>
    </w:p>
    <w:p>
      <w:pPr>
        <w:ind w:firstLine="480" w:firstLineChars="200"/>
        <w:jc w:val="left"/>
        <w:rPr>
          <w:rFonts w:ascii="仿宋_GB2312" w:hAnsi="宋体" w:eastAsia="仿宋_GB2312"/>
          <w:sz w:val="24"/>
        </w:rPr>
      </w:pPr>
      <w:r>
        <w:rPr>
          <w:rFonts w:hint="eastAsia" w:ascii="仿宋_GB2312" w:hAnsi="宋体" w:eastAsia="仿宋_GB2312"/>
          <w:sz w:val="24"/>
        </w:rPr>
        <w:t>③在列出的所有偏差中，属于重大偏差的情形和相关依据；在列出的所有偏差中，属于细微偏差的情形。</w:t>
      </w:r>
    </w:p>
    <w:p>
      <w:pPr>
        <w:ind w:firstLine="480" w:firstLineChars="200"/>
        <w:jc w:val="left"/>
        <w:rPr>
          <w:rFonts w:ascii="仿宋_GB2312" w:hAnsi="宋体" w:eastAsia="仿宋_GB2312"/>
          <w:sz w:val="24"/>
        </w:rPr>
      </w:pPr>
      <w:r>
        <w:rPr>
          <w:rFonts w:hint="eastAsia" w:ascii="仿宋_GB2312" w:hAnsi="宋体" w:eastAsia="仿宋_GB2312"/>
          <w:sz w:val="24"/>
        </w:rPr>
        <w:t>④列出投标价格过高或过低的清单项目的序号、项目编码、项目名称、项目特征、工程内容、与招标文件规定的标准之间存在的偏差幅度和产生原因的摘录。</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B、修正评审（确定平均值数据）</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评标委员会审查投标文件，审核并确认清标结果，包括工程投标报价的校核、审查全部数据计算的正确性、分析各种费用构成的合理性和正确性等内容，看其是否有计算或表达上的错误，投标报价有算术错误的，评标委员会按以下原则对投标报价进行修正。</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（1）投标文件中填报的工程量清单报价书中的分部分项工程量清单项目名称、计量单位及工程量与招标人或招标代理机构提供的工程量清单中非实质性内容不一致时，以招标人或招标代理机构提供的内容为准。</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（2）投标文件中填报的投标报价、投标工期、工程质量标准前后不一致时，以投标函填报的为准。</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（3）投标人填报的材料和设备品牌（商标）、单位、规格型号、产地、技术参数(标准)等与招标文件要求不一致的，以招标文件要求为准进行澄清修正，但所报的单价不变。</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4）工程量清单报价表中，出现综合单价金额和工程量的乘积与合价金额不一致的，以标出的综合单价金额为准，并修改合价金额。但综合单价金额小数点有明显错误的，以标出的合价金额为准，并修改综合单价金额。大写金额与小写金额不一致的，以大写金额为准。</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（6）工程量清单报价表中综合单价与工程量清单项目综合单价分析表相对应综合单价不一致时，以工程量清单项目综合单价分析表中标出的综合单价为准。</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若投标文件出现偏差，投标人应按上述修正原则进行修正，投标人须签章确认。</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C、无效标确定（同时该投标人所有投标报价均不计入平均值计算）</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（1）电子清单计价文件无法读取或不符合规定格式的。</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（2）投标人在需评审的材料表中报价为0，或改变评审表报价顺序造成难以进行数据比对而无法评标的。</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（3）投标人商务标中有负值出现的。</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（4）当投标文件中填报的工程量清单报价书中的分项、分部工程项目名称、内容或计量单位及工程量与招标人提供的工程量清单实质性不一致的。</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（5）按上述B条第（4）条修正后，若商务标修正的偏差绝对值累计超过投标报价 3％的或修正偏差后影响投标人排序的。</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（6）按上述B条规定评审时，如影响到平均单价计算，以致影响到评标结果的。</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（7）投标报价高于或等于控制价的。</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（8）投标人不接受投标文件偏差修正。</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D、不纳入平均值计算的其他现象</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1）对于投标人总则部分（第100章）费用、需评审的材料、综合单价数据高于预算价相应子目的，该子目不纳入平均单价计算。其报价经评委会重点评审后可视情况确定为恶意不平衡报价作无效标处理（如确定为无效标，该投标人所有投标报价均不纳入平均单价计算）。</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2）对于投标人总则部分（第100章）费用、需评审的材料、综合单价数据低于预算价过多，存在干扰平均单价数据计算现象的（如①与预算价、平均单价相比明显降幅过大的，②其他干扰平均单价数据计算现象的），明显违反清单计价规范的，经评委会重点评审后可不纳入平均值计算，其报价经评委会重点评审后可确定为不符合清单计价规范作无效标处理（如确定为无效标，该投标人所有投标报价均不纳入平均单价计算）。</w:t>
      </w:r>
    </w:p>
    <w:p>
      <w:pPr>
        <w:ind w:firstLine="480" w:firstLineChars="200"/>
        <w:jc w:val="left"/>
        <w:rPr>
          <w:rFonts w:ascii="仿宋_GB2312" w:hAnsi="宋体" w:eastAsia="仿宋_GB2312"/>
          <w:color w:val="000000"/>
          <w:sz w:val="24"/>
        </w:rPr>
      </w:pPr>
      <w:r>
        <w:rPr>
          <w:rFonts w:hint="eastAsia" w:ascii="仿宋_GB2312" w:hAnsi="宋体" w:eastAsia="仿宋_GB2312"/>
          <w:color w:val="000000"/>
          <w:sz w:val="24"/>
        </w:rPr>
        <w:t>（3）经评委会进行重点评审后有充分证据和理由不计入平均单价的其他现象。</w:t>
      </w:r>
    </w:p>
    <w:p>
      <w:pPr>
        <w:ind w:firstLine="482" w:firstLineChars="200"/>
        <w:jc w:val="left"/>
        <w:rPr>
          <w:rFonts w:ascii="仿宋_GB2312" w:hAnsi="宋体" w:eastAsia="仿宋_GB2312"/>
          <w:sz w:val="24"/>
          <w:highlight w:val="green"/>
        </w:rPr>
      </w:pPr>
      <w:r>
        <w:rPr>
          <w:rFonts w:hint="eastAsia" w:ascii="仿宋_GB2312" w:hAnsi="宋体" w:eastAsia="仿宋_GB2312"/>
          <w:b/>
          <w:sz w:val="24"/>
        </w:rPr>
        <w:t>对于出现上述报价异常情况的，经评委会确定后存在围标串标嫌疑的，招标代理机构将报相关部门重点调查。</w:t>
      </w:r>
    </w:p>
    <w:p>
      <w:pPr>
        <w:spacing w:line="360" w:lineRule="exact"/>
        <w:ind w:firstLine="640"/>
        <w:rPr>
          <w:rFonts w:ascii="仿宋_GB2312" w:hAnsi="宋体" w:eastAsia="仿宋_GB2312"/>
          <w:color w:val="000000"/>
          <w:sz w:val="24"/>
        </w:rPr>
      </w:pPr>
      <w:r>
        <w:rPr>
          <w:rFonts w:hint="eastAsia" w:ascii="仿宋_GB2312" w:hAnsi="宋体" w:eastAsia="仿宋_GB2312"/>
          <w:color w:val="000000"/>
          <w:sz w:val="24"/>
        </w:rPr>
        <w:t>剩余符合要求的有效投标人数量，如数量大于10家的，将投标总价最高价和最低价按10%的比例排序后分别去除，再将其余报价分别按需评审材料、综合单价、总则部分（第100章）费用取其平均价作为平均单价（以下简称平均单价）。如数量等于或小于10家的，不去除相应比例的最高价和最低价。以下商务标报价合理性评审中所述平均价均指本平均单价。未参与平均单价计算的有效投标人仍按评审规则参与评标。10%比例计取为按整数位计取，不四舍五入。</w:t>
      </w:r>
    </w:p>
    <w:p>
      <w:pPr>
        <w:spacing w:line="360" w:lineRule="exact"/>
        <w:ind w:firstLine="640"/>
        <w:rPr>
          <w:rFonts w:ascii="仿宋_GB2312" w:hAnsi="宋体" w:eastAsia="仿宋_GB2312"/>
          <w:b/>
          <w:bCs/>
          <w:sz w:val="24"/>
        </w:rPr>
      </w:pPr>
      <w:r>
        <w:rPr>
          <w:rFonts w:hint="eastAsia" w:ascii="仿宋_GB2312" w:eastAsia="仿宋_GB2312"/>
          <w:b/>
          <w:bCs/>
          <w:sz w:val="24"/>
        </w:rPr>
        <w:t xml:space="preserve">34.2.3.2     </w:t>
      </w:r>
      <w:r>
        <w:rPr>
          <w:rFonts w:hint="eastAsia" w:ascii="仿宋_GB2312" w:hAnsi="宋体" w:eastAsia="仿宋_GB2312"/>
          <w:b/>
          <w:bCs/>
          <w:sz w:val="24"/>
        </w:rPr>
        <w:t>商务标评审</w:t>
      </w:r>
    </w:p>
    <w:p>
      <w:pPr>
        <w:spacing w:line="360" w:lineRule="exact"/>
        <w:ind w:firstLine="640"/>
        <w:rPr>
          <w:rFonts w:ascii="仿宋_GB2312" w:eastAsia="仿宋_GB2312"/>
          <w:b/>
          <w:bCs/>
          <w:sz w:val="24"/>
        </w:rPr>
      </w:pPr>
      <w:r>
        <w:rPr>
          <w:rFonts w:hint="eastAsia" w:ascii="仿宋_GB2312" w:hAnsi="宋体" w:eastAsia="仿宋_GB2312"/>
          <w:b/>
          <w:bCs/>
          <w:sz w:val="24"/>
        </w:rPr>
        <w:t>A、  商务标初步评审</w:t>
      </w:r>
    </w:p>
    <w:p>
      <w:pPr>
        <w:spacing w:line="360" w:lineRule="exact"/>
        <w:ind w:firstLine="480" w:firstLineChars="200"/>
        <w:rPr>
          <w:rFonts w:ascii="仿宋_GB2312" w:eastAsia="仿宋_GB2312"/>
          <w:sz w:val="24"/>
        </w:rPr>
      </w:pPr>
      <w:r>
        <w:rPr>
          <w:rFonts w:hint="eastAsia" w:ascii="仿宋_GB2312" w:hAnsi="宋体" w:eastAsia="仿宋_GB2312"/>
          <w:sz w:val="24"/>
        </w:rPr>
        <w:t>(1)、本项目招标设有总控制价</w:t>
      </w:r>
      <w:r>
        <w:rPr>
          <w:rFonts w:hint="eastAsia" w:ascii="仿宋_GB2312" w:eastAsia="仿宋_GB2312"/>
          <w:sz w:val="24"/>
        </w:rPr>
        <w:t>A</w:t>
      </w:r>
      <w:r>
        <w:rPr>
          <w:rFonts w:hint="eastAsia" w:ascii="仿宋_GB2312" w:hAnsi="宋体" w:eastAsia="仿宋_GB2312"/>
          <w:sz w:val="24"/>
        </w:rPr>
        <w:t>，投标报价小于招标人总控制价</w:t>
      </w:r>
      <w:r>
        <w:rPr>
          <w:rFonts w:hint="eastAsia" w:ascii="仿宋_GB2312" w:eastAsia="仿宋_GB2312"/>
          <w:sz w:val="24"/>
        </w:rPr>
        <w:t>A</w:t>
      </w:r>
      <w:r>
        <w:rPr>
          <w:rFonts w:hint="eastAsia" w:ascii="仿宋_GB2312" w:hAnsi="宋体" w:eastAsia="仿宋_GB2312"/>
          <w:sz w:val="24"/>
        </w:rPr>
        <w:t>的投标人为有效投标人，投标报价大于或等于</w:t>
      </w:r>
      <w:r>
        <w:rPr>
          <w:rFonts w:hint="eastAsia" w:ascii="仿宋_GB2312" w:eastAsia="仿宋_GB2312"/>
          <w:sz w:val="24"/>
        </w:rPr>
        <w:t>A</w:t>
      </w:r>
      <w:r>
        <w:rPr>
          <w:rFonts w:hint="eastAsia" w:ascii="仿宋_GB2312" w:hAnsi="宋体" w:eastAsia="仿宋_GB2312"/>
          <w:sz w:val="24"/>
        </w:rPr>
        <w:t>的投标人为无效投标人。评标委员会将对投标人递交的工程报价和主要材料报价进行评审，如评标委员会认为投标人报价低于合理幅度的，可以要求投标人作出书面说明并提供相关材料。经评标委员会论证，认定该投标人的报价低于其企业成本的，不能推荐为中标人或者中标候选人，并由评审专家组写出结论性评标报告。</w:t>
      </w:r>
    </w:p>
    <w:p>
      <w:pPr>
        <w:spacing w:line="360" w:lineRule="exact"/>
        <w:ind w:firstLine="480" w:firstLineChars="200"/>
      </w:pPr>
      <w:r>
        <w:rPr>
          <w:rFonts w:hint="eastAsia" w:ascii="仿宋_GB2312" w:hAnsi="宋体" w:eastAsia="仿宋_GB2312"/>
          <w:sz w:val="24"/>
        </w:rPr>
        <w:t>(2)、</w:t>
      </w:r>
      <w:r>
        <w:rPr>
          <w:rFonts w:ascii="仿宋_GB2312" w:hAnsi="宋体" w:eastAsia="仿宋_GB2312"/>
          <w:sz w:val="24"/>
        </w:rPr>
        <w:t>评标委员会依次对投标报价进行评审，按照评标办法推荐中标候选人。</w:t>
      </w:r>
    </w:p>
    <w:p>
      <w:pPr>
        <w:spacing w:line="360" w:lineRule="exact"/>
        <w:ind w:firstLine="480" w:firstLineChars="200"/>
        <w:rPr>
          <w:rFonts w:ascii="仿宋_GB2312" w:eastAsia="仿宋_GB2312"/>
          <w:sz w:val="24"/>
        </w:rPr>
      </w:pPr>
      <w:r>
        <w:rPr>
          <w:rFonts w:hint="eastAsia" w:ascii="仿宋_GB2312" w:hAnsi="宋体" w:eastAsia="仿宋_GB2312"/>
          <w:sz w:val="24"/>
        </w:rPr>
        <w:t>(3)、投标文件的审核、计算错误的修正</w:t>
      </w:r>
    </w:p>
    <w:p>
      <w:pPr>
        <w:pStyle w:val="26"/>
        <w:spacing w:line="360" w:lineRule="exact"/>
        <w:rPr>
          <w:rFonts w:ascii="仿宋_GB2312" w:hAnsi="宋体" w:eastAsia="仿宋_GB2312"/>
          <w:sz w:val="24"/>
          <w:szCs w:val="24"/>
        </w:rPr>
      </w:pPr>
      <w:r>
        <w:rPr>
          <w:rFonts w:hint="eastAsia" w:ascii="仿宋_GB2312" w:hAnsi="宋体" w:eastAsia="仿宋_GB2312"/>
          <w:sz w:val="24"/>
        </w:rPr>
        <w:t>评标委员会审查预中标人的商务标文件，包括工程投标报价的校核、审查全部数据计算的正确性、分析各种费用构成的合理性和正确性等内容，看其是否有计算或表达上的错误，修正错误的原则按前述</w:t>
      </w:r>
      <w:r>
        <w:rPr>
          <w:rFonts w:hint="eastAsia" w:ascii="仿宋_GB2312" w:hAnsi="宋体" w:eastAsia="仿宋_GB2312"/>
          <w:sz w:val="24"/>
          <w:szCs w:val="24"/>
        </w:rPr>
        <w:t>投标文件计算错误的修正方法执行。</w:t>
      </w:r>
    </w:p>
    <w:p>
      <w:pPr>
        <w:spacing w:line="360" w:lineRule="exact"/>
        <w:ind w:firstLine="470" w:firstLineChars="196"/>
        <w:rPr>
          <w:rFonts w:ascii="仿宋_GB2312" w:hAnsi="宋体" w:eastAsia="仿宋_GB2312"/>
          <w:b/>
          <w:sz w:val="24"/>
          <w:u w:val="single"/>
        </w:rPr>
      </w:pPr>
      <w:r>
        <w:rPr>
          <w:rFonts w:hint="eastAsia" w:ascii="仿宋_GB2312" w:hAnsi="宋体" w:eastAsia="仿宋_GB2312"/>
          <w:sz w:val="24"/>
        </w:rPr>
        <w:t>按照本招标文件须知规定进行澄清、补正后的投标报价经投标人的法定代表人或其委托代理人确认后即为该投标人的最终投标报价。修正报价的投标人一旦中标，中标价就低不就高。</w:t>
      </w:r>
    </w:p>
    <w:p>
      <w:pPr>
        <w:spacing w:line="360" w:lineRule="exact"/>
        <w:ind w:firstLine="480" w:firstLineChars="200"/>
        <w:rPr>
          <w:rFonts w:ascii="仿宋_GB2312" w:hAnsi="宋体" w:eastAsia="仿宋_GB2312"/>
          <w:sz w:val="24"/>
        </w:rPr>
      </w:pPr>
    </w:p>
    <w:p>
      <w:pPr>
        <w:spacing w:line="360" w:lineRule="exact"/>
        <w:ind w:firstLine="480" w:firstLineChars="200"/>
        <w:rPr>
          <w:rFonts w:ascii="仿宋_GB2312" w:hAnsi="宋体" w:eastAsia="仿宋_GB2312"/>
          <w:sz w:val="24"/>
        </w:rPr>
      </w:pPr>
    </w:p>
    <w:p>
      <w:pPr>
        <w:pStyle w:val="26"/>
        <w:spacing w:line="360" w:lineRule="auto"/>
        <w:ind w:firstLine="405" w:firstLineChars="168"/>
        <w:rPr>
          <w:rFonts w:ascii="仿宋_GB2312" w:hAnsi="宋体" w:eastAsia="仿宋_GB2312"/>
          <w:b/>
          <w:spacing w:val="1"/>
          <w:kern w:val="0"/>
          <w:sz w:val="24"/>
          <w:szCs w:val="24"/>
        </w:rPr>
      </w:pPr>
      <w:r>
        <w:rPr>
          <w:rFonts w:hint="eastAsia" w:ascii="仿宋_GB2312" w:hAnsi="宋体" w:eastAsia="仿宋_GB2312"/>
          <w:b/>
          <w:bCs/>
          <w:sz w:val="24"/>
        </w:rPr>
        <w:t xml:space="preserve">B、   </w:t>
      </w:r>
      <w:r>
        <w:rPr>
          <w:rFonts w:hint="eastAsia" w:ascii="仿宋_GB2312" w:hAnsi="宋体" w:eastAsia="仿宋_GB2312"/>
          <w:b/>
          <w:spacing w:val="1"/>
          <w:kern w:val="0"/>
          <w:sz w:val="24"/>
          <w:szCs w:val="24"/>
        </w:rPr>
        <w:t>商务标详细评审</w:t>
      </w:r>
    </w:p>
    <w:p>
      <w:pPr>
        <w:pStyle w:val="26"/>
        <w:spacing w:line="360" w:lineRule="auto"/>
        <w:ind w:firstLine="406" w:firstLineChars="168"/>
        <w:rPr>
          <w:rFonts w:ascii="仿宋_GB2312" w:hAnsi="宋体" w:eastAsia="仿宋_GB2312"/>
          <w:spacing w:val="1"/>
          <w:kern w:val="0"/>
          <w:sz w:val="24"/>
          <w:szCs w:val="24"/>
        </w:rPr>
      </w:pPr>
      <w:r>
        <w:rPr>
          <w:rFonts w:hint="eastAsia" w:ascii="仿宋_GB2312" w:hAnsi="宋体" w:eastAsia="仿宋_GB2312"/>
          <w:spacing w:val="1"/>
          <w:kern w:val="0"/>
          <w:sz w:val="24"/>
          <w:szCs w:val="24"/>
        </w:rPr>
        <w:t>详细评审的内容主要包括报价的规范性和报价的合理性评审两个方面，评标委员会按照投标人投标报价由低到高的顺序依次进行。</w:t>
      </w:r>
    </w:p>
    <w:p>
      <w:pPr>
        <w:pStyle w:val="26"/>
        <w:spacing w:line="360" w:lineRule="auto"/>
        <w:ind w:firstLine="406" w:firstLineChars="168"/>
        <w:rPr>
          <w:rFonts w:ascii="仿宋_GB2312" w:hAnsi="宋体" w:eastAsia="仿宋_GB2312"/>
          <w:kern w:val="0"/>
          <w:sz w:val="24"/>
          <w:szCs w:val="24"/>
        </w:rPr>
      </w:pPr>
      <w:r>
        <w:rPr>
          <w:rFonts w:hint="eastAsia" w:ascii="仿宋_GB2312" w:hAnsi="宋体" w:eastAsia="仿宋_GB2312"/>
          <w:spacing w:val="1"/>
          <w:kern w:val="0"/>
          <w:sz w:val="24"/>
          <w:szCs w:val="24"/>
        </w:rPr>
        <w:t>对报价的规范性和合理性评审两个方面均符合的，</w:t>
      </w:r>
      <w:r>
        <w:rPr>
          <w:rFonts w:hint="eastAsia" w:ascii="仿宋_GB2312" w:hAnsi="宋体" w:eastAsia="仿宋_GB2312"/>
          <w:kern w:val="0"/>
          <w:sz w:val="24"/>
          <w:szCs w:val="24"/>
        </w:rPr>
        <w:t>即评判</w:t>
      </w:r>
      <w:r>
        <w:rPr>
          <w:rFonts w:hint="eastAsia" w:ascii="仿宋_GB2312" w:hAnsi="宋体" w:eastAsia="仿宋_GB2312"/>
          <w:sz w:val="24"/>
          <w:szCs w:val="24"/>
        </w:rPr>
        <w:t>投标人商务标</w:t>
      </w:r>
      <w:r>
        <w:rPr>
          <w:rFonts w:hint="eastAsia" w:ascii="仿宋_GB2312" w:hAnsi="宋体" w:eastAsia="仿宋_GB2312"/>
          <w:spacing w:val="1"/>
          <w:kern w:val="0"/>
          <w:sz w:val="24"/>
          <w:szCs w:val="24"/>
        </w:rPr>
        <w:t>详细评审</w:t>
      </w:r>
      <w:r>
        <w:rPr>
          <w:rFonts w:hint="eastAsia" w:ascii="仿宋_GB2312" w:hAnsi="宋体" w:eastAsia="仿宋_GB2312"/>
          <w:kern w:val="0"/>
          <w:sz w:val="24"/>
          <w:szCs w:val="24"/>
        </w:rPr>
        <w:t>通过。</w:t>
      </w:r>
    </w:p>
    <w:p>
      <w:pPr>
        <w:pStyle w:val="26"/>
        <w:spacing w:line="360" w:lineRule="auto"/>
        <w:ind w:firstLine="406" w:firstLineChars="168"/>
        <w:rPr>
          <w:rFonts w:ascii="仿宋_GB2312" w:hAnsi="宋体" w:eastAsia="仿宋_GB2312"/>
          <w:spacing w:val="1"/>
          <w:kern w:val="0"/>
          <w:sz w:val="24"/>
          <w:szCs w:val="24"/>
        </w:rPr>
      </w:pPr>
      <w:r>
        <w:rPr>
          <w:rFonts w:hint="eastAsia" w:ascii="仿宋_GB2312" w:hAnsi="宋体" w:eastAsia="仿宋_GB2312"/>
          <w:spacing w:val="1"/>
          <w:kern w:val="0"/>
          <w:sz w:val="24"/>
          <w:szCs w:val="24"/>
        </w:rPr>
        <w:t>对报价的规范性或合理性评审两个方面评审有疑问的须重点评审，重点评审后，若其中任意一项被判定为不合理或不规范且无法提供有效证明资料的，可评判报价合理性或规范性评审不通过，即可评判投标人商务标不通过。</w:t>
      </w:r>
    </w:p>
    <w:p>
      <w:pPr>
        <w:pStyle w:val="26"/>
        <w:spacing w:line="360" w:lineRule="auto"/>
        <w:ind w:firstLine="405" w:firstLineChars="168"/>
        <w:rPr>
          <w:rFonts w:ascii="仿宋_GB2312" w:hAnsi="宋体" w:eastAsia="仿宋_GB2312"/>
          <w:spacing w:val="1"/>
          <w:kern w:val="0"/>
          <w:sz w:val="24"/>
          <w:szCs w:val="24"/>
        </w:rPr>
      </w:pPr>
      <w:r>
        <w:rPr>
          <w:rFonts w:hint="eastAsia" w:ascii="仿宋_GB2312" w:eastAsia="仿宋_GB2312"/>
          <w:b/>
          <w:kern w:val="0"/>
          <w:sz w:val="24"/>
          <w:szCs w:val="24"/>
        </w:rPr>
        <w:t>(1)、</w:t>
      </w:r>
      <w:r>
        <w:rPr>
          <w:rFonts w:hint="eastAsia" w:ascii="仿宋_GB2312" w:hAnsi="宋体" w:eastAsia="仿宋_GB2312"/>
          <w:b/>
          <w:spacing w:val="1"/>
          <w:kern w:val="0"/>
          <w:sz w:val="24"/>
          <w:szCs w:val="24"/>
        </w:rPr>
        <w:t>商务标报价规范性评审</w:t>
      </w:r>
    </w:p>
    <w:p>
      <w:pPr>
        <w:ind w:firstLine="484" w:firstLineChars="200"/>
        <w:rPr>
          <w:rFonts w:ascii="仿宋_GB2312" w:hAnsi="宋体" w:eastAsia="仿宋_GB2312"/>
          <w:spacing w:val="1"/>
          <w:kern w:val="0"/>
          <w:sz w:val="24"/>
        </w:rPr>
      </w:pPr>
      <w:r>
        <w:rPr>
          <w:rFonts w:hint="eastAsia" w:ascii="仿宋_GB2312" w:hAnsi="宋体" w:eastAsia="仿宋_GB2312"/>
          <w:spacing w:val="1"/>
          <w:kern w:val="0"/>
          <w:sz w:val="24"/>
        </w:rPr>
        <w:t>内容包括：投标报价中分部分项工程综合单价、主要材料价格、人工费（含工日数量及工日单价）、机械费以及规费等明显相互冲突、自相矛盾或不合理的，未按照工程量清单计价规范要求计价的，经评审委员会做重点评审后，可作为无效投标。</w:t>
      </w:r>
    </w:p>
    <w:p>
      <w:pPr>
        <w:ind w:firstLine="484" w:firstLineChars="200"/>
        <w:rPr>
          <w:rFonts w:ascii="仿宋_GB2312" w:hAnsi="宋体" w:eastAsia="仿宋_GB2312" w:cs="Courier New"/>
          <w:spacing w:val="1"/>
          <w:kern w:val="0"/>
          <w:sz w:val="24"/>
        </w:rPr>
      </w:pPr>
      <w:r>
        <w:rPr>
          <w:rFonts w:hint="eastAsia" w:ascii="仿宋_GB2312" w:hAnsi="宋体" w:eastAsia="仿宋_GB2312"/>
          <w:spacing w:val="1"/>
          <w:kern w:val="0"/>
          <w:sz w:val="24"/>
        </w:rPr>
        <w:t>（如：投标报价中分部分项清单综合单价低于主材价格等情况，做重点评审后可作为</w:t>
      </w:r>
      <w:r>
        <w:rPr>
          <w:rFonts w:hint="eastAsia" w:ascii="仿宋_GB2312" w:hAnsi="宋体" w:eastAsia="仿宋_GB2312" w:cs="Courier New"/>
          <w:spacing w:val="1"/>
          <w:kern w:val="0"/>
          <w:sz w:val="24"/>
        </w:rPr>
        <w:t>无效投标）</w:t>
      </w:r>
    </w:p>
    <w:p>
      <w:pPr>
        <w:pStyle w:val="26"/>
        <w:spacing w:line="360" w:lineRule="auto"/>
        <w:ind w:firstLine="405" w:firstLineChars="168"/>
        <w:rPr>
          <w:rFonts w:ascii="仿宋_GB2312" w:eastAsia="仿宋_GB2312"/>
          <w:b/>
          <w:kern w:val="0"/>
          <w:sz w:val="24"/>
          <w:szCs w:val="24"/>
        </w:rPr>
      </w:pPr>
      <w:r>
        <w:rPr>
          <w:rFonts w:hint="eastAsia" w:ascii="仿宋_GB2312" w:eastAsia="仿宋_GB2312"/>
          <w:b/>
          <w:kern w:val="0"/>
          <w:sz w:val="24"/>
          <w:szCs w:val="24"/>
        </w:rPr>
        <w:t xml:space="preserve">(2)、商务标报价合理性评审  </w:t>
      </w:r>
    </w:p>
    <w:p>
      <w:pPr>
        <w:ind w:firstLine="482" w:firstLineChars="200"/>
        <w:rPr>
          <w:rFonts w:ascii="仿宋_GB2312" w:eastAsia="仿宋_GB2312"/>
          <w:b/>
          <w:sz w:val="24"/>
        </w:rPr>
      </w:pPr>
      <w:r>
        <w:rPr>
          <w:rFonts w:hint="eastAsia" w:ascii="仿宋_GB2312" w:eastAsia="仿宋_GB2312"/>
          <w:b/>
          <w:sz w:val="24"/>
        </w:rPr>
        <w:t>1)、主要材料价格价格评审：</w:t>
      </w:r>
    </w:p>
    <w:p>
      <w:pPr>
        <w:ind w:firstLine="480" w:firstLineChars="200"/>
        <w:rPr>
          <w:rFonts w:ascii="仿宋_GB2312" w:eastAsia="仿宋_GB2312"/>
          <w:b/>
          <w:sz w:val="24"/>
        </w:rPr>
      </w:pPr>
      <w:r>
        <w:rPr>
          <w:rFonts w:hint="eastAsia" w:ascii="仿宋_GB2312" w:eastAsia="仿宋_GB2312"/>
          <w:sz w:val="24"/>
          <w:highlight w:val="cyan"/>
        </w:rPr>
        <w:t>需评审的材料的范围见清单公布的《需评审的材料表清单》和预算价公布的《需评审的材料表》。</w:t>
      </w:r>
    </w:p>
    <w:p>
      <w:pPr>
        <w:ind w:firstLine="480" w:firstLineChars="200"/>
        <w:rPr>
          <w:rFonts w:ascii="仿宋_GB2312" w:eastAsia="仿宋_GB2312"/>
          <w:sz w:val="24"/>
        </w:rPr>
      </w:pPr>
      <w:r>
        <w:rPr>
          <w:rFonts w:hint="eastAsia" w:ascii="仿宋_GB2312" w:eastAsia="仿宋_GB2312"/>
          <w:sz w:val="24"/>
        </w:rPr>
        <w:t>对投标报价中的材料单价降幅超过预算价相应材料单价</w:t>
      </w:r>
      <w:r>
        <w:rPr>
          <w:rFonts w:hint="eastAsia" w:ascii="仿宋_GB2312" w:eastAsia="仿宋_GB2312"/>
          <w:b/>
          <w:sz w:val="24"/>
        </w:rPr>
        <w:t>25%（含本数）</w:t>
      </w:r>
      <w:r>
        <w:rPr>
          <w:rFonts w:hint="eastAsia" w:ascii="仿宋_GB2312" w:eastAsia="仿宋_GB2312"/>
          <w:sz w:val="24"/>
        </w:rPr>
        <w:t>以上的（其中钢材、沥青、砼（或水泥）超过</w:t>
      </w:r>
      <w:r>
        <w:rPr>
          <w:rFonts w:hint="eastAsia" w:ascii="仿宋_GB2312" w:eastAsia="仿宋_GB2312"/>
          <w:b/>
          <w:sz w:val="24"/>
        </w:rPr>
        <w:t>10%（含本数）</w:t>
      </w:r>
      <w:r>
        <w:rPr>
          <w:rFonts w:hint="eastAsia" w:ascii="仿宋_GB2312" w:eastAsia="仿宋_GB2312"/>
          <w:sz w:val="24"/>
        </w:rPr>
        <w:t>以上的），且降幅超过技术标入围的各有效投标人相应材料平均单价</w:t>
      </w:r>
      <w:r>
        <w:rPr>
          <w:rFonts w:hint="eastAsia" w:ascii="仿宋_GB2312" w:eastAsia="仿宋_GB2312"/>
          <w:b/>
          <w:sz w:val="24"/>
        </w:rPr>
        <w:t>5%（含本数）</w:t>
      </w:r>
      <w:r>
        <w:rPr>
          <w:rFonts w:hint="eastAsia" w:ascii="仿宋_GB2312" w:eastAsia="仿宋_GB2312"/>
          <w:sz w:val="24"/>
        </w:rPr>
        <w:t>以上的，评委会应直接判定该项材料报价属于较大偏差（无论是否提供证明材料），并对其进行偏差调整。调整值为取预算价相应材料价格乘以7</w:t>
      </w:r>
      <w:r>
        <w:rPr>
          <w:rFonts w:hint="eastAsia" w:ascii="仿宋_GB2312" w:eastAsia="仿宋_GB2312"/>
          <w:b/>
          <w:sz w:val="24"/>
        </w:rPr>
        <w:t>5%</w:t>
      </w:r>
      <w:r>
        <w:rPr>
          <w:rFonts w:hint="eastAsia" w:ascii="仿宋_GB2312" w:eastAsia="仿宋_GB2312"/>
          <w:sz w:val="24"/>
        </w:rPr>
        <w:t>（钢材、沥青、砼（或水泥）乘以</w:t>
      </w:r>
      <w:r>
        <w:rPr>
          <w:rFonts w:hint="eastAsia" w:ascii="仿宋_GB2312" w:eastAsia="仿宋_GB2312"/>
          <w:b/>
          <w:sz w:val="24"/>
        </w:rPr>
        <w:t>90%</w:t>
      </w:r>
      <w:r>
        <w:rPr>
          <w:rFonts w:hint="eastAsia" w:ascii="仿宋_GB2312" w:eastAsia="仿宋_GB2312"/>
          <w:sz w:val="24"/>
        </w:rPr>
        <w:t>）后与技术标入围的有效投标单位该项报价平均价二者之间低值，减去投标人该项报价后的差值，用该差值乘以该材料的预算价消耗量即为偏差调整值。</w:t>
      </w:r>
    </w:p>
    <w:p>
      <w:pPr>
        <w:ind w:firstLine="480" w:firstLineChars="200"/>
        <w:rPr>
          <w:rFonts w:ascii="仿宋_GB2312" w:eastAsia="仿宋_GB2312"/>
          <w:sz w:val="24"/>
        </w:rPr>
      </w:pPr>
      <w:r>
        <w:rPr>
          <w:rFonts w:hint="eastAsia" w:ascii="仿宋_GB2312" w:eastAsia="仿宋_GB2312"/>
          <w:sz w:val="24"/>
        </w:rPr>
        <w:t>评委会判定的各项属于较大偏差的需评审的材料累计偏差调整值超过该投标人投标报价3％（含3%）的，则判定该投标单位投标报价低于成本价，其商务标作无效投标处理。</w:t>
      </w:r>
    </w:p>
    <w:p>
      <w:pPr>
        <w:ind w:firstLine="480" w:firstLineChars="200"/>
        <w:rPr>
          <w:rFonts w:ascii="仿宋_GB2312" w:eastAsia="仿宋_GB2312"/>
          <w:sz w:val="24"/>
        </w:rPr>
      </w:pPr>
      <w:r>
        <w:rPr>
          <w:rFonts w:hint="eastAsia" w:ascii="仿宋_GB2312" w:eastAsia="仿宋_GB2312"/>
          <w:sz w:val="24"/>
        </w:rPr>
        <w:t>例：如需评审的材料表中钢材用量为500吨，市场信息价为5000元/t，某投标单位投标总报价为1000万元，其中钢材报价为4400元/t, 技术标入围的各投标单位该项单价平均价为4700元/t，该投标单位钢材报价较信息价单价降幅为（5000-4400）/5000＝12%，较经技术标入围的各投标人该项材料平均报价降幅为（4700-4400）/4700＝6.3%，超过预算价10%和平均报价5%的评审控制点，则此项报价判定为属于较大偏差，需进行偏差调整。调整方法为：</w:t>
      </w:r>
    </w:p>
    <w:p>
      <w:pPr>
        <w:ind w:firstLine="480" w:firstLineChars="200"/>
        <w:rPr>
          <w:rFonts w:ascii="仿宋_GB2312" w:eastAsia="仿宋_GB2312"/>
          <w:sz w:val="24"/>
        </w:rPr>
      </w:pPr>
      <w:r>
        <w:rPr>
          <w:rFonts w:hint="eastAsia" w:ascii="仿宋_GB2312" w:eastAsia="仿宋_GB2312"/>
          <w:sz w:val="24"/>
        </w:rPr>
        <w:t>该项材料预算价评审价为5000元×90%＝4500元，各投标单位该项材料价格平均价为4700元。二者低值为4500元。调整值为：</w:t>
      </w:r>
    </w:p>
    <w:p>
      <w:pPr>
        <w:rPr>
          <w:rFonts w:ascii="仿宋_GB2312" w:eastAsia="仿宋_GB2312"/>
          <w:sz w:val="24"/>
        </w:rPr>
      </w:pPr>
      <w:r>
        <w:rPr>
          <w:rFonts w:hint="eastAsia" w:ascii="仿宋_GB2312" w:eastAsia="仿宋_GB2312"/>
          <w:sz w:val="24"/>
        </w:rPr>
        <w:t>（4500-4400）×500吨＝5万元，占投标单位报价为5/1000＝0.5%，偏差比例未超过3%控制点。暂不作无效投标处理。依次进行其他材料评审。</w:t>
      </w:r>
    </w:p>
    <w:p>
      <w:pPr>
        <w:ind w:firstLine="480" w:firstLineChars="200"/>
        <w:rPr>
          <w:rFonts w:ascii="仿宋_GB2312" w:eastAsia="仿宋_GB2312"/>
          <w:sz w:val="24"/>
        </w:rPr>
      </w:pPr>
      <w:r>
        <w:rPr>
          <w:rFonts w:hint="eastAsia" w:ascii="仿宋_GB2312" w:eastAsia="仿宋_GB2312"/>
          <w:sz w:val="24"/>
        </w:rPr>
        <w:t>上例如所有需评审的材料评审后，累计偏差超过30万元，即超过其投标报价1000万元中的3%控制点，则判定该投标单位投标报价低于成本价，其商务标作无效投标处理。</w:t>
      </w:r>
    </w:p>
    <w:p>
      <w:pPr>
        <w:ind w:firstLine="482" w:firstLineChars="200"/>
        <w:rPr>
          <w:rFonts w:ascii="仿宋_GB2312" w:eastAsia="仿宋_GB2312"/>
          <w:b/>
          <w:sz w:val="24"/>
        </w:rPr>
      </w:pPr>
      <w:r>
        <w:rPr>
          <w:rFonts w:hint="eastAsia" w:ascii="仿宋_GB2312" w:eastAsia="仿宋_GB2312"/>
          <w:b/>
          <w:sz w:val="24"/>
        </w:rPr>
        <w:t>2)、主要</w:t>
      </w:r>
      <w:r>
        <w:rPr>
          <w:rFonts w:hint="eastAsia" w:ascii="仿宋_GB2312" w:hAnsi="宋体" w:eastAsia="仿宋_GB2312"/>
          <w:b/>
          <w:spacing w:val="1"/>
          <w:kern w:val="0"/>
          <w:sz w:val="24"/>
        </w:rPr>
        <w:t>材料消耗量评审:</w:t>
      </w:r>
    </w:p>
    <w:p>
      <w:pPr>
        <w:ind w:firstLine="480" w:firstLineChars="200"/>
        <w:rPr>
          <w:rFonts w:ascii="仿宋_GB2312" w:eastAsia="仿宋_GB2312"/>
          <w:sz w:val="24"/>
        </w:rPr>
      </w:pPr>
      <w:r>
        <w:rPr>
          <w:rFonts w:hint="eastAsia" w:ascii="仿宋_GB2312" w:eastAsia="仿宋_GB2312"/>
          <w:sz w:val="24"/>
        </w:rPr>
        <w:t>清单中有实体量的，投标人所报的需评审的材料表中消耗量低于工程量清单实体量，经评审委员会做重点评审后，判定为低于成本价的，其商务标作无效投标处理。</w:t>
      </w:r>
    </w:p>
    <w:p>
      <w:pPr>
        <w:ind w:firstLine="476" w:firstLineChars="196"/>
        <w:rPr>
          <w:rFonts w:ascii="仿宋_GB2312" w:eastAsia="仿宋_GB2312"/>
          <w:b/>
          <w:sz w:val="24"/>
        </w:rPr>
      </w:pPr>
      <w:r>
        <w:rPr>
          <w:rFonts w:hint="eastAsia" w:ascii="仿宋_GB2312" w:hAnsi="宋体" w:eastAsia="仿宋_GB2312"/>
          <w:b/>
          <w:spacing w:val="1"/>
          <w:kern w:val="0"/>
          <w:sz w:val="24"/>
        </w:rPr>
        <w:t>3)、综合单价评审：</w:t>
      </w:r>
    </w:p>
    <w:p>
      <w:pPr>
        <w:ind w:firstLine="480" w:firstLineChars="200"/>
        <w:rPr>
          <w:rFonts w:ascii="仿宋_GB2312" w:eastAsia="仿宋_GB2312"/>
          <w:sz w:val="24"/>
        </w:rPr>
      </w:pPr>
      <w:r>
        <w:rPr>
          <w:rFonts w:hint="eastAsia" w:ascii="仿宋_GB2312" w:eastAsia="仿宋_GB2312"/>
          <w:sz w:val="24"/>
        </w:rPr>
        <w:t>投标报价中所有分部分项子目综合单价</w:t>
      </w:r>
      <w:r>
        <w:rPr>
          <w:rFonts w:hint="eastAsia" w:ascii="仿宋_GB2312" w:eastAsia="仿宋_GB2312"/>
          <w:color w:val="000000"/>
          <w:sz w:val="24"/>
        </w:rPr>
        <w:t>（除第100章总则外的）</w:t>
      </w:r>
      <w:r>
        <w:rPr>
          <w:rFonts w:hint="eastAsia" w:ascii="仿宋_GB2312" w:eastAsia="仿宋_GB2312"/>
          <w:sz w:val="24"/>
        </w:rPr>
        <w:t>降幅超过预算价对应子目综合单价35%以上 且降幅超过平均单价5%（含本数）以上的子目，评标委员会将判定该项属于较大偏差，对其进行偏差调整，调整值为取预算价中该项子目综合单价乘以65%后与所有平均单价二者之间低值，减去投标人该项报价后的差值，用该差值乘以该材料的清单工程量即为偏差调整值。</w:t>
      </w:r>
    </w:p>
    <w:p>
      <w:pPr>
        <w:ind w:firstLine="480" w:firstLineChars="200"/>
        <w:rPr>
          <w:rFonts w:ascii="仿宋_GB2312" w:eastAsia="仿宋_GB2312"/>
          <w:sz w:val="24"/>
        </w:rPr>
      </w:pPr>
      <w:r>
        <w:rPr>
          <w:rFonts w:hint="eastAsia" w:ascii="仿宋_GB2312" w:eastAsia="仿宋_GB2312"/>
          <w:sz w:val="24"/>
        </w:rPr>
        <w:t>评委会判定的各项属于较大偏差的重点项目偏差调整值不超过3%控制点的，则该投标单位商务标通过。累计偏差超过3%（含3%）的，则判定该投标单位投标报价低于成本价，其商务标作无效投标处理。</w:t>
      </w:r>
    </w:p>
    <w:p>
      <w:pPr>
        <w:ind w:firstLine="480" w:firstLineChars="200"/>
        <w:rPr>
          <w:rFonts w:ascii="仿宋_GB2312" w:eastAsia="仿宋_GB2312"/>
          <w:sz w:val="24"/>
        </w:rPr>
      </w:pPr>
      <w:r>
        <w:rPr>
          <w:rFonts w:hint="eastAsia" w:ascii="仿宋_GB2312" w:eastAsia="仿宋_GB2312"/>
          <w:sz w:val="24"/>
        </w:rPr>
        <w:t>例：如投标单位A某一子目综合单价报价为640元，而该子目预算价综合单价为1000元，平均单价为750元，投标单位A该项子目报价低于预算价35%以上，且低于平均单价5%以上，需作重点评审。如评委评审后认为该投标单位A报价有效，则不需进行偏差调整。如评审后认为该项子目报价低于成本价，则需进行偏差调整计算。计算过程如下：</w:t>
      </w:r>
    </w:p>
    <w:p>
      <w:pPr>
        <w:ind w:firstLine="480" w:firstLineChars="200"/>
        <w:rPr>
          <w:rFonts w:ascii="仿宋_GB2312" w:eastAsia="仿宋_GB2312"/>
          <w:sz w:val="24"/>
        </w:rPr>
      </w:pPr>
      <w:r>
        <w:rPr>
          <w:rFonts w:hint="eastAsia" w:ascii="仿宋_GB2312" w:eastAsia="仿宋_GB2312"/>
          <w:sz w:val="24"/>
        </w:rPr>
        <w:t>该项子目预算价综合单价1000元×65%＝650元。而各投标单位该项子目综合单价平均价为750元。二者低值为650元。</w:t>
      </w:r>
    </w:p>
    <w:p>
      <w:pPr>
        <w:ind w:firstLine="480" w:firstLineChars="200"/>
        <w:rPr>
          <w:rFonts w:ascii="仿宋_GB2312" w:eastAsia="仿宋_GB2312"/>
          <w:sz w:val="24"/>
        </w:rPr>
      </w:pPr>
      <w:r>
        <w:rPr>
          <w:rFonts w:hint="eastAsia" w:ascii="仿宋_GB2312" w:eastAsia="仿宋_GB2312"/>
          <w:sz w:val="24"/>
        </w:rPr>
        <w:t>以650元减去投标人A该项子目综合单价640元，等于10元。</w:t>
      </w:r>
    </w:p>
    <w:p>
      <w:pPr>
        <w:ind w:firstLine="480" w:firstLineChars="200"/>
        <w:rPr>
          <w:rFonts w:ascii="仿宋_GB2312" w:eastAsia="仿宋_GB2312"/>
          <w:sz w:val="24"/>
        </w:rPr>
      </w:pPr>
      <w:r>
        <w:rPr>
          <w:rFonts w:hint="eastAsia" w:ascii="仿宋_GB2312" w:eastAsia="仿宋_GB2312"/>
          <w:sz w:val="24"/>
        </w:rPr>
        <w:t>如该项子目工程数量为1000米。则偏差为1000×10＝1万元</w:t>
      </w:r>
    </w:p>
    <w:p>
      <w:pPr>
        <w:ind w:firstLine="480" w:firstLineChars="200"/>
        <w:rPr>
          <w:rFonts w:ascii="仿宋_GB2312" w:eastAsia="仿宋_GB2312"/>
          <w:sz w:val="24"/>
        </w:rPr>
      </w:pPr>
      <w:r>
        <w:rPr>
          <w:rFonts w:hint="eastAsia" w:ascii="仿宋_GB2312" w:eastAsia="仿宋_GB2312"/>
          <w:sz w:val="24"/>
        </w:rPr>
        <w:t>如投标人A的投标总报价为1000万元，则偏差比例为1/1000＝0.1%。依次进行其它重点子目评审。</w:t>
      </w:r>
    </w:p>
    <w:p>
      <w:pPr>
        <w:ind w:firstLine="480" w:firstLineChars="200"/>
        <w:rPr>
          <w:rFonts w:ascii="仿宋_GB2312" w:eastAsia="仿宋_GB2312"/>
          <w:sz w:val="24"/>
        </w:rPr>
      </w:pPr>
      <w:r>
        <w:rPr>
          <w:rFonts w:hint="eastAsia" w:ascii="仿宋_GB2312" w:eastAsia="仿宋_GB2312"/>
          <w:sz w:val="24"/>
        </w:rPr>
        <w:t>如累计偏差不超过3%控制点，则该投标单位商务标通过。如累计偏差超过3%（含3%），则判定该投标单位投标报价低于成本价，其商务标作无效投标处理。</w:t>
      </w:r>
    </w:p>
    <w:p>
      <w:pPr>
        <w:ind w:firstLine="472" w:firstLineChars="196"/>
        <w:rPr>
          <w:rFonts w:ascii="仿宋_GB2312" w:eastAsia="仿宋_GB2312"/>
          <w:b/>
          <w:color w:val="000000"/>
          <w:sz w:val="24"/>
        </w:rPr>
      </w:pPr>
      <w:r>
        <w:rPr>
          <w:rFonts w:hint="eastAsia" w:ascii="仿宋_GB2312" w:eastAsia="仿宋_GB2312"/>
          <w:b/>
          <w:color w:val="000000"/>
          <w:sz w:val="24"/>
        </w:rPr>
        <w:t>4）总则部分（第100章）费用评审</w:t>
      </w:r>
    </w:p>
    <w:p>
      <w:pPr>
        <w:ind w:firstLine="480" w:firstLineChars="200"/>
        <w:rPr>
          <w:rFonts w:ascii="仿宋_GB2312" w:eastAsia="仿宋_GB2312"/>
          <w:color w:val="000000"/>
          <w:sz w:val="24"/>
        </w:rPr>
      </w:pPr>
      <w:r>
        <w:rPr>
          <w:rFonts w:hint="eastAsia" w:ascii="仿宋_GB2312" w:eastAsia="仿宋_GB2312"/>
          <w:color w:val="000000"/>
          <w:sz w:val="24"/>
        </w:rPr>
        <w:t>评委会对投标报价的总则部分（第100章）费用结合技术标进行评审，如投标人总则部分费用与预算价总则部分费用相比降幅超过</w:t>
      </w:r>
      <w:r>
        <w:rPr>
          <w:rFonts w:hint="eastAsia" w:ascii="仿宋_GB2312" w:eastAsia="仿宋_GB2312"/>
          <w:b/>
          <w:color w:val="000000"/>
          <w:sz w:val="24"/>
          <w:u w:val="single"/>
        </w:rPr>
        <w:t>40%以上（含40%，以预算价总费用为基数）</w:t>
      </w:r>
      <w:r>
        <w:rPr>
          <w:rFonts w:hint="eastAsia" w:ascii="仿宋_GB2312" w:eastAsia="仿宋_GB2312"/>
          <w:color w:val="000000"/>
          <w:sz w:val="24"/>
        </w:rPr>
        <w:t>，同时与经资审通过的各投标人平均总则费用相比降幅超过</w:t>
      </w:r>
      <w:r>
        <w:rPr>
          <w:rFonts w:hint="eastAsia" w:ascii="仿宋_GB2312" w:eastAsia="仿宋_GB2312"/>
          <w:b/>
          <w:color w:val="000000"/>
          <w:sz w:val="24"/>
          <w:u w:val="single"/>
        </w:rPr>
        <w:t>15%以上（含15%，以平均总则费用为基数）</w:t>
      </w:r>
      <w:r>
        <w:rPr>
          <w:rFonts w:hint="eastAsia" w:ascii="仿宋_GB2312" w:eastAsia="仿宋_GB2312"/>
          <w:color w:val="000000"/>
          <w:sz w:val="24"/>
        </w:rPr>
        <w:t>，且投标人未能在标书中提供充分证明材料的，评委会将在重点评审后判定为低于成本价，作为无效投标。</w:t>
      </w:r>
    </w:p>
    <w:p>
      <w:pPr>
        <w:ind w:firstLine="480" w:firstLineChars="200"/>
        <w:rPr>
          <w:rFonts w:ascii="仿宋_GB2312" w:eastAsia="仿宋_GB2312"/>
          <w:sz w:val="24"/>
        </w:rPr>
      </w:pPr>
      <w:r>
        <w:rPr>
          <w:rFonts w:hint="eastAsia" w:ascii="仿宋_GB2312" w:eastAsia="仿宋_GB2312"/>
          <w:color w:val="000000"/>
          <w:sz w:val="24"/>
        </w:rPr>
        <w:t>例：如预算价总则部分（第100章）费用为100万元，而投标单位A总则部分费用45万元，各投标人平均总则费用为55万元，投标单位A总则费用较预算价总则费用降幅为55%，超过40%控制点，同时较各投标人平均总则费用降幅为18.18%，超过15%的控制点，则评委将对投标单位商务标中有无证明材料进行审查，如投标单位商务标中无证明材料，或证明材料经评委会评审后不通过（例如证明材料不足以证明其报价合理性、可行性等），则评委会将判定该投标单位总则费（第</w:t>
      </w:r>
      <w:r>
        <w:rPr>
          <w:rFonts w:hint="eastAsia" w:ascii="仿宋_GB2312" w:eastAsia="仿宋_GB2312"/>
          <w:sz w:val="24"/>
        </w:rPr>
        <w:t>100章）报价低于成本价，作为无效投标。</w:t>
      </w:r>
    </w:p>
    <w:p>
      <w:pPr>
        <w:ind w:firstLine="482" w:firstLineChars="200"/>
        <w:rPr>
          <w:rFonts w:ascii="仿宋_GB2312" w:hAnsi="宋体" w:eastAsia="仿宋_GB2312"/>
          <w:b/>
          <w:sz w:val="24"/>
        </w:rPr>
      </w:pPr>
      <w:r>
        <w:rPr>
          <w:rFonts w:hint="eastAsia" w:ascii="仿宋_GB2312" w:hAnsi="宋体" w:eastAsia="仿宋_GB2312"/>
          <w:b/>
          <w:sz w:val="24"/>
        </w:rPr>
        <w:t>5)、不平衡报价评审</w:t>
      </w:r>
    </w:p>
    <w:p>
      <w:pPr>
        <w:ind w:firstLine="484" w:firstLineChars="200"/>
        <w:rPr>
          <w:rFonts w:ascii="仿宋_GB2312" w:eastAsia="仿宋_GB2312"/>
          <w:b/>
          <w:sz w:val="24"/>
        </w:rPr>
      </w:pPr>
      <w:r>
        <w:rPr>
          <w:rFonts w:hint="eastAsia" w:ascii="仿宋_GB2312" w:hAnsi="宋体" w:eastAsia="仿宋_GB2312"/>
          <w:spacing w:val="1"/>
          <w:kern w:val="0"/>
          <w:sz w:val="24"/>
        </w:rPr>
        <w:t>不平衡报价评审及结算按以下规定进行：</w:t>
      </w:r>
    </w:p>
    <w:p>
      <w:pPr>
        <w:ind w:firstLine="480" w:firstLineChars="200"/>
        <w:rPr>
          <w:rFonts w:ascii="仿宋_GB2312" w:eastAsia="仿宋_GB2312"/>
          <w:sz w:val="24"/>
        </w:rPr>
      </w:pPr>
      <w:r>
        <w:rPr>
          <w:rFonts w:ascii="仿宋_GB2312" w:eastAsia="仿宋_GB2312"/>
          <w:sz w:val="24"/>
        </w:rPr>
        <w:fldChar w:fldCharType="begin"/>
      </w:r>
      <w:r>
        <w:rPr>
          <w:rFonts w:hint="eastAsia" w:ascii="仿宋_GB2312" w:eastAsia="仿宋_GB2312"/>
          <w:sz w:val="24"/>
        </w:rPr>
        <w:instrText xml:space="preserve">= 1 \* GB3</w:instrText>
      </w:r>
      <w:r>
        <w:rPr>
          <w:rFonts w:ascii="仿宋_GB2312" w:eastAsia="仿宋_GB2312"/>
          <w:sz w:val="24"/>
        </w:rPr>
        <w:fldChar w:fldCharType="separate"/>
      </w:r>
      <w:r>
        <w:rPr>
          <w:rFonts w:hint="eastAsia" w:ascii="仿宋_GB2312" w:eastAsia="仿宋_GB2312"/>
          <w:sz w:val="24"/>
        </w:rPr>
        <w:t>①</w:t>
      </w:r>
      <w:r>
        <w:rPr>
          <w:rFonts w:ascii="仿宋_GB2312" w:eastAsia="仿宋_GB2312"/>
          <w:sz w:val="24"/>
        </w:rPr>
        <w:fldChar w:fldCharType="end"/>
      </w:r>
      <w:r>
        <w:rPr>
          <w:rFonts w:hint="eastAsia" w:ascii="仿宋_GB2312" w:eastAsia="仿宋_GB2312"/>
          <w:sz w:val="24"/>
        </w:rPr>
        <w:t>投标人应对预算价进行复核，认为预算价及措施费有误的，应在开标前规定疑问提交时限内提出。投标人未提出相关书面异议的，视同认可预算价所有子目组价合理。对于投标报价明显高出预算价单价的情况，评委会重点评审后可将其作为恶意不平衡报价进行评审，其商务标作无效投标处理。</w:t>
      </w:r>
    </w:p>
    <w:p>
      <w:pPr>
        <w:spacing w:line="360" w:lineRule="exact"/>
        <w:ind w:firstLine="640"/>
        <w:rPr>
          <w:rFonts w:ascii="仿宋_GB2312" w:eastAsia="仿宋_GB2312"/>
          <w:b/>
          <w:bCs/>
          <w:sz w:val="24"/>
        </w:rPr>
      </w:pPr>
      <w:r>
        <w:rPr>
          <w:rFonts w:hint="eastAsia" w:ascii="仿宋_GB2312" w:eastAsia="仿宋_GB2312"/>
          <w:b/>
          <w:bCs/>
          <w:sz w:val="24"/>
        </w:rPr>
        <w:t>6）、降低报价的证明材料说明</w:t>
      </w:r>
    </w:p>
    <w:p>
      <w:pPr>
        <w:ind w:firstLine="480" w:firstLineChars="200"/>
        <w:rPr>
          <w:rFonts w:ascii="仿宋_GB2312" w:eastAsia="仿宋_GB2312"/>
          <w:sz w:val="24"/>
        </w:rPr>
      </w:pPr>
      <w:r>
        <w:rPr>
          <w:rFonts w:hint="eastAsia" w:ascii="仿宋_GB2312" w:eastAsia="仿宋_GB2312"/>
          <w:sz w:val="24"/>
        </w:rPr>
        <w:t>投标的施工企业，能提供以下报告和证明材料，充分说明低于上述判定规定者，并经过评审委员会确定，可视为有效。</w:t>
      </w:r>
    </w:p>
    <w:p>
      <w:pPr>
        <w:ind w:firstLine="480" w:firstLineChars="200"/>
        <w:rPr>
          <w:rFonts w:ascii="仿宋_GB2312" w:eastAsia="仿宋_GB2312"/>
          <w:sz w:val="24"/>
        </w:rPr>
      </w:pPr>
      <w:r>
        <w:rPr>
          <w:rFonts w:hint="eastAsia" w:ascii="仿宋_GB2312" w:eastAsia="仿宋_GB2312"/>
          <w:sz w:val="24"/>
        </w:rPr>
        <w:t>①提供该施工企业在近三年中已完成一个类似工程（结构特征和规模相似）的投标报价、分部分项工程项目报价，考虑价格变化因素后，与本次投标报价情况近似，同时应由工程造价咨询单位对该工程结算价出具经业主确认的审价报告，表明该企业已按投标报价及合同约定圆满完成了工程施工，并未发生投标人原因而增加的费用。</w:t>
      </w:r>
    </w:p>
    <w:p>
      <w:pPr>
        <w:spacing w:line="280" w:lineRule="exact"/>
        <w:ind w:firstLine="480" w:firstLineChars="200"/>
        <w:rPr>
          <w:rFonts w:ascii="仿宋_GB2312" w:eastAsia="仿宋_GB2312"/>
          <w:sz w:val="24"/>
        </w:rPr>
      </w:pPr>
      <w:r>
        <w:rPr>
          <w:rFonts w:hint="eastAsia" w:ascii="仿宋_GB2312" w:eastAsia="仿宋_GB2312"/>
          <w:sz w:val="24"/>
        </w:rPr>
        <w:t>②能提供经行业管理部门认可的企业由于使用新技术、新工艺或先进管理办法，从而降低工程成本的相关材料。</w:t>
      </w:r>
    </w:p>
    <w:p>
      <w:pPr>
        <w:spacing w:line="280" w:lineRule="exact"/>
        <w:ind w:firstLine="480" w:firstLineChars="200"/>
        <w:rPr>
          <w:rFonts w:ascii="仿宋_GB2312" w:eastAsia="仿宋_GB2312"/>
          <w:sz w:val="24"/>
        </w:rPr>
      </w:pPr>
      <w:r>
        <w:rPr>
          <w:rFonts w:hint="eastAsia" w:ascii="仿宋_GB2312" w:eastAsia="仿宋_GB2312"/>
          <w:sz w:val="24"/>
        </w:rPr>
        <w:t>③能提供货物采购合同、发票等可信的证据，以证明其采购到的材料、设备单价低于第1）条①款规定范围以外的。</w:t>
      </w:r>
    </w:p>
    <w:p>
      <w:pPr>
        <w:spacing w:line="280" w:lineRule="exact"/>
        <w:ind w:firstLine="480" w:firstLineChars="200"/>
        <w:rPr>
          <w:rFonts w:ascii="仿宋_GB2312" w:eastAsia="仿宋_GB2312"/>
          <w:sz w:val="24"/>
        </w:rPr>
      </w:pPr>
      <w:r>
        <w:rPr>
          <w:rFonts w:hint="eastAsia" w:ascii="仿宋_GB2312" w:eastAsia="仿宋_GB2312"/>
          <w:sz w:val="24"/>
        </w:rPr>
        <w:t>④能提供经行业管理部门认可的其他有关降低企业工程成本的分析报告和证据材料。</w:t>
      </w:r>
    </w:p>
    <w:p>
      <w:pPr>
        <w:spacing w:line="280" w:lineRule="exact"/>
        <w:ind w:firstLine="480" w:firstLineChars="200"/>
        <w:rPr>
          <w:rFonts w:ascii="仿宋_GB2312" w:eastAsia="仿宋_GB2312"/>
          <w:sz w:val="24"/>
        </w:rPr>
      </w:pPr>
      <w:r>
        <w:rPr>
          <w:rFonts w:hint="eastAsia" w:ascii="仿宋_GB2312" w:eastAsia="仿宋_GB2312"/>
          <w:sz w:val="24"/>
        </w:rPr>
        <w:t>⑤以上证明材料应在商务标中有复印件同时提供原件。</w:t>
      </w:r>
    </w:p>
    <w:p>
      <w:pPr>
        <w:spacing w:line="280" w:lineRule="exact"/>
        <w:ind w:firstLine="480" w:firstLineChars="200"/>
        <w:rPr>
          <w:rFonts w:ascii="黑体" w:hAnsi="宋体" w:eastAsia="黑体"/>
          <w:sz w:val="24"/>
        </w:rPr>
      </w:pPr>
      <w:r>
        <w:rPr>
          <w:rFonts w:hint="eastAsia" w:ascii="仿宋_GB2312" w:eastAsia="仿宋_GB2312"/>
          <w:sz w:val="24"/>
        </w:rPr>
        <w:t>⑥投标单位应确保以上证明材料的真实有效，招标方将保留对上述证明材料留存并调查取证的权利。</w:t>
      </w:r>
      <w:r>
        <w:rPr>
          <w:rFonts w:hint="eastAsia" w:ascii="黑体" w:hAnsi="宋体" w:eastAsia="黑体"/>
          <w:sz w:val="24"/>
        </w:rPr>
        <w:t>若发现投标人有弄虚作假行为的，</w:t>
      </w:r>
      <w:r>
        <w:rPr>
          <w:rFonts w:hint="eastAsia" w:ascii="黑体" w:hAnsi="宋体" w:eastAsia="黑体"/>
          <w:kern w:val="0"/>
          <w:sz w:val="24"/>
        </w:rPr>
        <w:t>由相关管理部门依法处理，并记不良记录</w:t>
      </w:r>
      <w:r>
        <w:rPr>
          <w:rFonts w:hint="eastAsia" w:ascii="仿宋_GB2312" w:hAnsi="宋体" w:eastAsia="仿宋_GB2312" w:cs="Courier New"/>
          <w:bCs/>
          <w:sz w:val="24"/>
        </w:rPr>
        <w:t>，</w:t>
      </w:r>
      <w:r>
        <w:rPr>
          <w:rFonts w:hint="eastAsia" w:ascii="黑体" w:hAnsi="宋体" w:eastAsia="黑体"/>
          <w:kern w:val="0"/>
          <w:sz w:val="24"/>
        </w:rPr>
        <w:t>若中标的，中标无效。</w:t>
      </w:r>
    </w:p>
    <w:p>
      <w:pPr>
        <w:spacing w:line="280" w:lineRule="exact"/>
        <w:ind w:firstLine="640"/>
        <w:rPr>
          <w:rFonts w:ascii="仿宋_GB2312" w:eastAsia="仿宋_GB2312"/>
          <w:b/>
          <w:bCs/>
          <w:sz w:val="24"/>
        </w:rPr>
      </w:pPr>
      <w:r>
        <w:rPr>
          <w:rFonts w:hint="eastAsia" w:ascii="仿宋_GB2312" w:eastAsia="仿宋_GB2312"/>
          <w:b/>
          <w:bCs/>
          <w:sz w:val="24"/>
        </w:rPr>
        <w:t>7）其它</w:t>
      </w:r>
    </w:p>
    <w:p>
      <w:pPr>
        <w:spacing w:line="280" w:lineRule="exact"/>
        <w:ind w:firstLine="480" w:firstLineChars="200"/>
        <w:rPr>
          <w:rFonts w:ascii="仿宋_GB2312" w:hAnsi="宋体" w:eastAsia="仿宋_GB2312"/>
          <w:sz w:val="24"/>
        </w:rPr>
      </w:pPr>
      <w:r>
        <w:rPr>
          <w:rFonts w:hint="eastAsia" w:ascii="仿宋_GB2312" w:eastAsia="仿宋_GB2312"/>
          <w:sz w:val="24"/>
        </w:rPr>
        <w:t>①</w:t>
      </w:r>
      <w:r>
        <w:rPr>
          <w:rFonts w:hint="eastAsia" w:ascii="仿宋_GB2312" w:hAnsi="宋体" w:eastAsia="仿宋_GB2312"/>
          <w:sz w:val="24"/>
        </w:rPr>
        <w:t>电子清单计价文件无法读取或不符合规定格式的（含需评审材料顺序更改、报价为0等）不作为投标人报价平均值计算依据。</w:t>
      </w:r>
    </w:p>
    <w:p>
      <w:pPr>
        <w:spacing w:line="280" w:lineRule="exact"/>
        <w:ind w:firstLine="480" w:firstLineChars="200"/>
        <w:rPr>
          <w:rFonts w:ascii="仿宋_GB2312" w:eastAsia="仿宋_GB2312"/>
          <w:sz w:val="24"/>
        </w:rPr>
      </w:pPr>
      <w:r>
        <w:rPr>
          <w:rFonts w:hint="eastAsia" w:ascii="仿宋_GB2312" w:eastAsia="仿宋_GB2312"/>
          <w:sz w:val="24"/>
        </w:rPr>
        <w:t>②本项目在发放工程量清单、</w:t>
      </w:r>
      <w:r>
        <w:rPr>
          <w:rFonts w:hint="eastAsia" w:ascii="仿宋_GB2312" w:eastAsia="仿宋_GB2312"/>
          <w:color w:val="FF0000"/>
          <w:sz w:val="24"/>
        </w:rPr>
        <w:t>预算价</w:t>
      </w:r>
      <w:r>
        <w:rPr>
          <w:rFonts w:hint="eastAsia" w:ascii="仿宋_GB2312" w:eastAsia="仿宋_GB2312"/>
          <w:sz w:val="24"/>
        </w:rPr>
        <w:t>的同时，将公布需重点评审材料表以及市场价、信息价等相关数据，如投标单位认为数据有误，可在开标前按疑问提交时限要求书面提出。如在规定时间内未提出书面异议的，清单和</w:t>
      </w:r>
      <w:r>
        <w:rPr>
          <w:rFonts w:hint="eastAsia" w:ascii="仿宋_GB2312" w:eastAsia="仿宋_GB2312"/>
          <w:color w:val="FF0000"/>
          <w:sz w:val="24"/>
        </w:rPr>
        <w:t>预算价</w:t>
      </w:r>
      <w:r>
        <w:rPr>
          <w:rFonts w:hint="eastAsia" w:ascii="仿宋_GB2312" w:eastAsia="仿宋_GB2312"/>
          <w:sz w:val="24"/>
        </w:rPr>
        <w:t>中数据将被作为有效数据用于判定投标报价是否有较大偏差进行调整和判定为低于成本价的依据。</w:t>
      </w:r>
    </w:p>
    <w:p>
      <w:pPr>
        <w:spacing w:line="280" w:lineRule="exact"/>
        <w:ind w:firstLine="472" w:firstLineChars="197"/>
        <w:rPr>
          <w:rFonts w:ascii="黑体" w:hAnsi="宋体" w:eastAsia="黑体"/>
          <w:sz w:val="24"/>
        </w:rPr>
      </w:pPr>
      <w:r>
        <w:rPr>
          <w:rFonts w:hint="eastAsia" w:ascii="黑体" w:hAnsi="宋体" w:eastAsia="黑体"/>
          <w:sz w:val="24"/>
        </w:rPr>
        <w:t>③投标人不得更改需评审材料表中材料排列顺序，如更改顺序以致影响评标的，由评审委员会按无效标处理。</w:t>
      </w:r>
    </w:p>
    <w:p>
      <w:pPr>
        <w:spacing w:line="280" w:lineRule="exact"/>
        <w:ind w:firstLine="480" w:firstLineChars="200"/>
        <w:rPr>
          <w:rFonts w:ascii="黑体" w:hAnsi="宋体" w:eastAsia="黑体"/>
          <w:sz w:val="24"/>
        </w:rPr>
      </w:pPr>
      <w:r>
        <w:rPr>
          <w:rFonts w:hint="eastAsia" w:ascii="黑体" w:hAnsi="宋体" w:eastAsia="黑体"/>
          <w:sz w:val="24"/>
        </w:rPr>
        <w:t>④在评标过程中如果对招标文件作出实质响应的投标人只有2家，且该两家经评标委员会评审投标具有竞争性的，可以继续评标。</w:t>
      </w:r>
    </w:p>
    <w:p>
      <w:pPr>
        <w:ind w:firstLine="480" w:firstLineChars="200"/>
        <w:rPr>
          <w:rFonts w:ascii="黑体" w:hAnsi="宋体" w:eastAsia="黑体"/>
          <w:sz w:val="24"/>
        </w:rPr>
      </w:pPr>
      <w:bookmarkStart w:id="17" w:name="_Toc200336337"/>
      <w:bookmarkStart w:id="18" w:name="_Toc208106836"/>
      <w:r>
        <w:rPr>
          <w:rFonts w:hint="eastAsia" w:ascii="黑体" w:hAnsi="宋体" w:eastAsia="黑体"/>
          <w:sz w:val="24"/>
        </w:rPr>
        <w:t>⑤在评标过程中如果对招标文件作出实质响应的投标人只有</w:t>
      </w:r>
      <w:r>
        <w:rPr>
          <w:rFonts w:ascii="黑体" w:hAnsi="宋体" w:eastAsia="黑体"/>
          <w:sz w:val="24"/>
        </w:rPr>
        <w:t>1</w:t>
      </w:r>
      <w:r>
        <w:rPr>
          <w:rFonts w:hint="eastAsia" w:ascii="黑体" w:hAnsi="宋体" w:eastAsia="黑体"/>
          <w:sz w:val="24"/>
        </w:rPr>
        <w:t>家，评标委员会根据该工程项目实际，结合工程预算价、市场价格情况综合判断投标是否具备竞争性（报价合理）；经评标委员会评审投标具备竞争性的（报价合理），可以继续评标，推荐为中标候选人。如不具备竞争性或其投标报价在所有入围商务标评审的投标人中最高，予以废标或该项目按流标处理。</w:t>
      </w:r>
    </w:p>
    <w:permEnd w:id="89"/>
    <w:p>
      <w:pPr>
        <w:pStyle w:val="3"/>
        <w:spacing w:line="360" w:lineRule="exact"/>
        <w:rPr>
          <w:rFonts w:ascii="仿宋_GB2312" w:hAnsi="宋体" w:eastAsia="仿宋_GB2312"/>
          <w:sz w:val="32"/>
          <w:szCs w:val="32"/>
        </w:rPr>
        <w:sectPr>
          <w:pgSz w:w="11907" w:h="16840"/>
          <w:pgMar w:top="1077" w:right="1134" w:bottom="1077" w:left="1134" w:header="680" w:footer="907" w:gutter="0"/>
          <w:cols w:space="720" w:num="1"/>
          <w:docGrid w:linePitch="271" w:charSpace="0"/>
        </w:sectPr>
      </w:pPr>
    </w:p>
    <w:p>
      <w:pPr>
        <w:pStyle w:val="3"/>
        <w:spacing w:line="360" w:lineRule="exact"/>
        <w:rPr>
          <w:rFonts w:ascii="仿宋_GB2312" w:hAnsi="宋体" w:eastAsia="仿宋_GB2312"/>
          <w:sz w:val="32"/>
          <w:szCs w:val="32"/>
        </w:rPr>
      </w:pPr>
      <w:r>
        <w:rPr>
          <w:rFonts w:hint="eastAsia" w:ascii="仿宋_GB2312" w:hAnsi="宋体" w:eastAsia="仿宋_GB2312"/>
          <w:sz w:val="32"/>
          <w:szCs w:val="32"/>
        </w:rPr>
        <w:t>（八）合同的授予</w:t>
      </w:r>
      <w:bookmarkEnd w:id="17"/>
      <w:bookmarkEnd w:id="18"/>
    </w:p>
    <w:p>
      <w:pPr>
        <w:pStyle w:val="26"/>
        <w:spacing w:line="400" w:lineRule="exact"/>
        <w:rPr>
          <w:rFonts w:ascii="仿宋_GB2312" w:hAnsi="Times New Roman" w:eastAsia="仿宋_GB2312"/>
          <w:sz w:val="24"/>
          <w:szCs w:val="24"/>
        </w:rPr>
      </w:pPr>
      <w:r>
        <w:rPr>
          <w:rFonts w:hint="eastAsia" w:ascii="仿宋_GB2312" w:hAnsi="Times New Roman" w:eastAsia="仿宋_GB2312"/>
          <w:sz w:val="24"/>
          <w:szCs w:val="24"/>
        </w:rPr>
        <w:t>35</w:t>
      </w:r>
      <w:r>
        <w:rPr>
          <w:rFonts w:hint="eastAsia" w:ascii="仿宋_GB2312" w:eastAsia="仿宋_GB2312"/>
          <w:sz w:val="24"/>
          <w:szCs w:val="24"/>
        </w:rPr>
        <w:t>、合同授予标准</w:t>
      </w:r>
    </w:p>
    <w:p>
      <w:pPr>
        <w:pStyle w:val="26"/>
        <w:spacing w:line="400" w:lineRule="exact"/>
        <w:rPr>
          <w:rFonts w:ascii="仿宋_GB2312" w:eastAsia="仿宋_GB2312"/>
          <w:sz w:val="24"/>
          <w:szCs w:val="24"/>
        </w:rPr>
      </w:pPr>
      <w:r>
        <w:rPr>
          <w:rFonts w:hint="eastAsia" w:ascii="仿宋_GB2312" w:eastAsia="仿宋_GB2312"/>
          <w:sz w:val="24"/>
          <w:szCs w:val="24"/>
        </w:rPr>
        <w:t>本招标工程的施工合同将授予按评标委员会的评标报告所确定的中标人。</w:t>
      </w:r>
    </w:p>
    <w:p>
      <w:pPr>
        <w:pStyle w:val="26"/>
        <w:spacing w:line="400" w:lineRule="exact"/>
        <w:rPr>
          <w:rFonts w:ascii="仿宋_GB2312" w:hAnsi="Times New Roman" w:eastAsia="仿宋_GB2312"/>
          <w:sz w:val="24"/>
          <w:szCs w:val="24"/>
        </w:rPr>
      </w:pPr>
      <w:r>
        <w:rPr>
          <w:rFonts w:hint="eastAsia" w:ascii="仿宋_GB2312" w:hAnsi="Times New Roman" w:eastAsia="仿宋_GB2312"/>
          <w:sz w:val="24"/>
          <w:szCs w:val="24"/>
        </w:rPr>
        <w:t>36</w:t>
      </w:r>
      <w:r>
        <w:rPr>
          <w:rFonts w:hint="eastAsia" w:ascii="仿宋_GB2312" w:eastAsia="仿宋_GB2312"/>
          <w:sz w:val="24"/>
          <w:szCs w:val="24"/>
        </w:rPr>
        <w:t>、招标人拒绝投标的权力</w:t>
      </w:r>
    </w:p>
    <w:p>
      <w:pPr>
        <w:pStyle w:val="26"/>
        <w:spacing w:line="400" w:lineRule="exact"/>
        <w:rPr>
          <w:rFonts w:ascii="仿宋_GB2312" w:eastAsia="仿宋_GB2312"/>
          <w:sz w:val="24"/>
          <w:szCs w:val="24"/>
        </w:rPr>
      </w:pPr>
      <w:r>
        <w:rPr>
          <w:rFonts w:hint="eastAsia" w:ascii="仿宋_GB2312" w:eastAsia="仿宋_GB2312"/>
          <w:sz w:val="24"/>
          <w:szCs w:val="24"/>
        </w:rPr>
        <w:t>招标人不承诺将合同授予报价最低的投标人。招标人在发出中标通知书前，有权依据评标委员会的评标报告拒绝不合格的投标。</w:t>
      </w:r>
    </w:p>
    <w:p>
      <w:pPr>
        <w:pStyle w:val="26"/>
        <w:spacing w:line="400" w:lineRule="exact"/>
        <w:rPr>
          <w:rFonts w:ascii="仿宋_GB2312" w:hAnsi="Times New Roman" w:eastAsia="仿宋_GB2312"/>
          <w:sz w:val="24"/>
          <w:szCs w:val="24"/>
        </w:rPr>
      </w:pPr>
      <w:r>
        <w:rPr>
          <w:rFonts w:hint="eastAsia" w:ascii="仿宋_GB2312" w:hAnsi="Times New Roman" w:eastAsia="仿宋_GB2312"/>
          <w:sz w:val="24"/>
          <w:szCs w:val="24"/>
        </w:rPr>
        <w:t>37</w:t>
      </w:r>
      <w:r>
        <w:rPr>
          <w:rFonts w:hint="eastAsia" w:ascii="仿宋_GB2312" w:eastAsia="仿宋_GB2312"/>
          <w:sz w:val="24"/>
          <w:szCs w:val="24"/>
        </w:rPr>
        <w:t>、中标通知书</w:t>
      </w:r>
    </w:p>
    <w:p>
      <w:pPr>
        <w:pStyle w:val="26"/>
        <w:spacing w:line="400" w:lineRule="exact"/>
        <w:rPr>
          <w:rFonts w:ascii="仿宋_GB2312" w:eastAsia="仿宋_GB2312"/>
          <w:sz w:val="24"/>
          <w:szCs w:val="24"/>
        </w:rPr>
      </w:pPr>
      <w:r>
        <w:rPr>
          <w:rFonts w:hint="eastAsia" w:ascii="仿宋_GB2312" w:eastAsia="仿宋_GB2312"/>
          <w:sz w:val="24"/>
          <w:szCs w:val="24"/>
        </w:rPr>
        <w:t>37.1 中标人确定后，招标人将在蚌埠市公共资源交易中心网站站上公示，公示期满后，未发现中标人在招标投标活动中有违法行为的,招标人将向中标人发出中标通知书。</w:t>
      </w:r>
    </w:p>
    <w:p>
      <w:pPr>
        <w:pStyle w:val="26"/>
        <w:spacing w:line="400" w:lineRule="exact"/>
        <w:rPr>
          <w:rFonts w:ascii="仿宋_GB2312" w:eastAsia="仿宋_GB2312"/>
          <w:sz w:val="24"/>
          <w:szCs w:val="24"/>
        </w:rPr>
      </w:pPr>
      <w:r>
        <w:rPr>
          <w:rFonts w:hint="eastAsia" w:ascii="仿宋_GB2312" w:eastAsia="仿宋_GB2312"/>
          <w:sz w:val="24"/>
          <w:szCs w:val="24"/>
        </w:rPr>
        <w:t>38、招标代理服务费：以中标价为计算基数，按招标代理合同签订的收费标准收取。</w:t>
      </w:r>
    </w:p>
    <w:p>
      <w:pPr>
        <w:pStyle w:val="26"/>
        <w:spacing w:line="400" w:lineRule="exact"/>
        <w:rPr>
          <w:rFonts w:ascii="仿宋_GB2312" w:hAnsi="Times New Roman" w:eastAsia="仿宋_GB2312"/>
          <w:sz w:val="24"/>
          <w:szCs w:val="24"/>
        </w:rPr>
      </w:pPr>
      <w:r>
        <w:rPr>
          <w:rFonts w:hint="eastAsia" w:ascii="仿宋_GB2312" w:hAnsi="Times New Roman" w:eastAsia="仿宋_GB2312"/>
          <w:sz w:val="24"/>
          <w:szCs w:val="24"/>
        </w:rPr>
        <w:t>39</w:t>
      </w:r>
      <w:r>
        <w:rPr>
          <w:rFonts w:hint="eastAsia" w:ascii="仿宋_GB2312" w:eastAsia="仿宋_GB2312"/>
          <w:sz w:val="24"/>
          <w:szCs w:val="24"/>
        </w:rPr>
        <w:t>、签订合同</w:t>
      </w:r>
    </w:p>
    <w:p>
      <w:pPr>
        <w:adjustRightInd w:val="0"/>
        <w:snapToGrid w:val="0"/>
        <w:spacing w:beforeLines="20" w:afterLines="20" w:line="400" w:lineRule="exact"/>
        <w:rPr>
          <w:rFonts w:ascii="仿宋_GB2312" w:eastAsia="仿宋_GB2312"/>
          <w:sz w:val="24"/>
        </w:rPr>
      </w:pPr>
      <w:r>
        <w:rPr>
          <w:rFonts w:hint="eastAsia" w:ascii="仿宋_GB2312" w:eastAsia="仿宋_GB2312"/>
          <w:sz w:val="24"/>
        </w:rPr>
        <w:t>39.1中标人的中标价即为合同价款。</w:t>
      </w:r>
    </w:p>
    <w:p>
      <w:pPr>
        <w:adjustRightInd w:val="0"/>
        <w:snapToGrid w:val="0"/>
        <w:spacing w:beforeLines="20" w:afterLines="20" w:line="400" w:lineRule="exact"/>
        <w:rPr>
          <w:rFonts w:ascii="仿宋_GB2312" w:eastAsia="仿宋_GB2312"/>
          <w:sz w:val="24"/>
        </w:rPr>
      </w:pPr>
      <w:r>
        <w:rPr>
          <w:rFonts w:hint="eastAsia" w:ascii="仿宋_GB2312" w:eastAsia="仿宋_GB2312"/>
          <w:sz w:val="24"/>
        </w:rPr>
        <w:t>39.2中标人在收到中标通知书之日起，应及时与招标人办理洽谈和签订承包合同的各项手续并做好进场准备工作(含临时设施、施工水电接引)，招标人另有规定的除外。</w:t>
      </w:r>
    </w:p>
    <w:p>
      <w:pPr>
        <w:adjustRightInd w:val="0"/>
        <w:snapToGrid w:val="0"/>
        <w:spacing w:beforeLines="20" w:afterLines="20" w:line="400" w:lineRule="exact"/>
        <w:rPr>
          <w:rFonts w:ascii="仿宋_GB2312" w:hAnsi="宋体" w:eastAsia="仿宋_GB2312"/>
          <w:sz w:val="24"/>
        </w:rPr>
      </w:pPr>
      <w:permStart w:id="90" w:edGrp="everyone"/>
      <w:r>
        <w:rPr>
          <w:rFonts w:hint="eastAsia" w:ascii="仿宋_GB2312" w:eastAsia="仿宋_GB2312"/>
          <w:sz w:val="24"/>
        </w:rPr>
        <w:t>39.3</w:t>
      </w:r>
      <w:r>
        <w:rPr>
          <w:rFonts w:hint="eastAsia" w:ascii="仿宋_GB2312" w:hAnsi="宋体" w:eastAsia="仿宋_GB2312"/>
          <w:sz w:val="24"/>
        </w:rPr>
        <w:t>招标人和中标人应当自中标通知书发出之日起</w:t>
      </w:r>
      <w:r>
        <w:rPr>
          <w:rFonts w:hint="eastAsia" w:ascii="黑体" w:hAnsi="宋体" w:eastAsia="黑体"/>
          <w:sz w:val="24"/>
        </w:rPr>
        <w:t>30天内</w:t>
      </w:r>
      <w:r>
        <w:rPr>
          <w:rFonts w:hint="eastAsia" w:ascii="仿宋_GB2312" w:hAnsi="宋体" w:eastAsia="仿宋_GB2312"/>
          <w:sz w:val="24"/>
        </w:rPr>
        <w:t>，根据招标文件和中标人的投标文件订立书面合同。中标人无正当理由拒签合同的，招标人取消其中标资格，其保证金（含投标保证金）不予退还；给招标人超过的损失超过保证金（含投标保证金）数额的，中标人还应当对超过部分予以赔偿。</w:t>
      </w:r>
    </w:p>
    <w:p>
      <w:pPr>
        <w:adjustRightInd w:val="0"/>
        <w:snapToGrid w:val="0"/>
        <w:spacing w:beforeLines="20" w:afterLines="20" w:line="400" w:lineRule="exact"/>
        <w:rPr>
          <w:rFonts w:ascii="仿宋_GB2312" w:hAnsi="宋体" w:eastAsia="仿宋_GB2312"/>
          <w:sz w:val="24"/>
        </w:rPr>
      </w:pPr>
      <w:r>
        <w:rPr>
          <w:rFonts w:hint="eastAsia" w:ascii="仿宋_GB2312" w:eastAsia="仿宋_GB2312"/>
          <w:sz w:val="24"/>
        </w:rPr>
        <w:t xml:space="preserve">39.4  </w:t>
      </w:r>
      <w:r>
        <w:rPr>
          <w:rFonts w:hint="eastAsia" w:ascii="仿宋_GB2312" w:hAnsi="宋体" w:eastAsia="仿宋_GB2312"/>
          <w:sz w:val="24"/>
        </w:rPr>
        <w:t>发出中标通知书后，招标人无正当理由拒签合同的，招标人向中标人退还保证金（含投标保证金），给中标人造成损失的，还应当赔偿损失。</w:t>
      </w:r>
    </w:p>
    <w:p>
      <w:pPr>
        <w:ind w:firstLine="480" w:firstLineChars="200"/>
        <w:rPr>
          <w:rFonts w:ascii="仿宋_GB2312" w:hAnsi="宋体" w:eastAsia="仿宋_GB2312"/>
          <w:sz w:val="24"/>
        </w:rPr>
      </w:pPr>
      <w:r>
        <w:rPr>
          <w:rFonts w:hint="eastAsia" w:ascii="仿宋_GB2312" w:hAnsi="宋体" w:eastAsia="仿宋_GB2312"/>
          <w:sz w:val="24"/>
        </w:rPr>
        <w:t>投标人中标后，无正当理由不与招标采购人签订合同的，记不良行为记录，即日起取消其一年内进入蚌埠市公共资源交易中心投标资格，并予以公示。其投标保证金按招标文件约定办理。</w:t>
      </w:r>
    </w:p>
    <w:p>
      <w:pPr>
        <w:ind w:firstLine="480" w:firstLineChars="200"/>
        <w:rPr>
          <w:rFonts w:ascii="仿宋_GB2312" w:eastAsia="仿宋_GB2312"/>
          <w:sz w:val="24"/>
        </w:rPr>
      </w:pPr>
      <w:r>
        <w:rPr>
          <w:rFonts w:hint="eastAsia" w:ascii="仿宋_GB2312" w:hAnsi="宋体" w:eastAsia="仿宋_GB2312"/>
          <w:sz w:val="24"/>
        </w:rPr>
        <w:t>签订合同后中标人不履行与招标人订立的合同的，记不良行为记录，即日起取消其二年内进入蚌埠市公共资源交易中心投标资格，并予以公示。政府采购项目其履约保证金不予退还，并对招标人的损失承担赔偿责任。非政府采购项目的，责成招标人不予退还履约保证金，并要求对招标人的损失承担赔偿责任。记不良行为记录，即日起取消其二年内进入蚌埠市公共资源交易中心投标资格，并予以公示。</w:t>
      </w:r>
    </w:p>
    <w:permEnd w:id="90"/>
    <w:p>
      <w:pPr>
        <w:adjustRightInd w:val="0"/>
        <w:snapToGrid w:val="0"/>
        <w:spacing w:beforeLines="20" w:afterLines="20" w:line="400" w:lineRule="exact"/>
        <w:rPr>
          <w:rFonts w:ascii="仿宋_GB2312" w:eastAsia="仿宋_GB2312"/>
          <w:sz w:val="24"/>
        </w:rPr>
      </w:pPr>
      <w:r>
        <w:rPr>
          <w:rFonts w:hint="eastAsia" w:ascii="仿宋_GB2312" w:eastAsia="仿宋_GB2312"/>
          <w:sz w:val="24"/>
        </w:rPr>
        <w:t>39.5</w:t>
      </w:r>
      <w:r>
        <w:rPr>
          <w:rFonts w:hint="eastAsia" w:ascii="仿宋_GB2312" w:hAnsi="宋体" w:eastAsia="仿宋_GB2312"/>
          <w:sz w:val="24"/>
        </w:rPr>
        <w:t>中标人应当按照合同约定履行义务，完成中标项目施工，不得将中标项目施工转让（转包）给他人。</w:t>
      </w:r>
    </w:p>
    <w:p>
      <w:pPr>
        <w:pStyle w:val="26"/>
        <w:spacing w:line="400" w:lineRule="exact"/>
        <w:rPr>
          <w:rFonts w:ascii="仿宋_GB2312" w:hAnsi="宋体" w:eastAsia="仿宋_GB2312"/>
          <w:sz w:val="24"/>
          <w:szCs w:val="24"/>
        </w:rPr>
      </w:pPr>
      <w:r>
        <w:rPr>
          <w:rFonts w:hint="eastAsia" w:ascii="仿宋_GB2312" w:hAnsi="宋体" w:eastAsia="仿宋_GB2312"/>
          <w:sz w:val="24"/>
          <w:szCs w:val="24"/>
        </w:rPr>
        <w:t>40、履约担保</w:t>
      </w:r>
    </w:p>
    <w:p>
      <w:pPr>
        <w:pStyle w:val="26"/>
        <w:spacing w:line="400" w:lineRule="exact"/>
        <w:rPr>
          <w:rFonts w:ascii="仿宋_GB2312" w:hAnsi="宋体" w:eastAsia="仿宋_GB2312"/>
          <w:sz w:val="24"/>
          <w:szCs w:val="24"/>
        </w:rPr>
      </w:pPr>
      <w:r>
        <w:rPr>
          <w:rFonts w:hint="eastAsia" w:ascii="仿宋_GB2312" w:hAnsi="宋体" w:eastAsia="仿宋_GB2312"/>
          <w:sz w:val="24"/>
          <w:szCs w:val="24"/>
        </w:rPr>
        <w:t>40.1 履约担保</w:t>
      </w:r>
    </w:p>
    <w:p>
      <w:pPr>
        <w:pStyle w:val="26"/>
        <w:spacing w:line="400" w:lineRule="exact"/>
        <w:rPr>
          <w:rFonts w:ascii="仿宋_GB2312" w:hAnsi="宋体" w:eastAsia="仿宋_GB2312"/>
          <w:sz w:val="24"/>
          <w:szCs w:val="24"/>
        </w:rPr>
      </w:pPr>
      <w:r>
        <w:rPr>
          <w:rFonts w:hint="eastAsia" w:ascii="仿宋_GB2312" w:hAnsi="宋体" w:eastAsia="仿宋_GB2312"/>
          <w:sz w:val="24"/>
          <w:szCs w:val="24"/>
        </w:rPr>
        <w:t>40.1.1合同协议书签署前，中标人应按本须知前附表规定的金额和形式向招标人提交履约担保。</w:t>
      </w:r>
    </w:p>
    <w:p>
      <w:pPr>
        <w:pStyle w:val="26"/>
        <w:spacing w:line="400" w:lineRule="exact"/>
        <w:rPr>
          <w:rFonts w:ascii="仿宋_GB2312" w:hAnsi="宋体" w:eastAsia="仿宋_GB2312"/>
          <w:sz w:val="24"/>
          <w:szCs w:val="24"/>
        </w:rPr>
      </w:pPr>
      <w:permStart w:id="91" w:edGrp="everyone"/>
      <w:r>
        <w:rPr>
          <w:rFonts w:hint="eastAsia" w:ascii="仿宋_GB2312" w:hAnsi="宋体" w:eastAsia="仿宋_GB2312"/>
          <w:sz w:val="24"/>
          <w:szCs w:val="24"/>
        </w:rPr>
        <w:t>40.1.2 若中标人不能按本须知第40.1.1款的规定执行，招标人将有充分的理由不与其签定合同，且不予退还其保证金（含投标保证金），给招标人造成的损失超过投标担保数额的，还应当对超过部分予以赔偿。</w:t>
      </w:r>
    </w:p>
    <w:permEnd w:id="91"/>
    <w:p>
      <w:pPr>
        <w:pStyle w:val="26"/>
        <w:spacing w:line="400" w:lineRule="exact"/>
        <w:rPr>
          <w:rFonts w:ascii="仿宋_GB2312" w:hAnsi="宋体" w:eastAsia="仿宋_GB2312"/>
          <w:sz w:val="24"/>
          <w:szCs w:val="24"/>
        </w:rPr>
      </w:pPr>
      <w:r>
        <w:rPr>
          <w:rFonts w:hint="eastAsia" w:ascii="仿宋_GB2312" w:hAnsi="宋体" w:eastAsia="仿宋_GB2312"/>
          <w:sz w:val="24"/>
          <w:szCs w:val="24"/>
        </w:rPr>
        <w:t>40.1.3 招标人应当在合同签订前对中标人提交的履约担保进行审查，中标人未提交担保或者所提交担保不符合招标文件约定的，招标人应当拒绝签订合同，并将拒绝签订合同的原因书面告知市公共资源交易监督管理局。</w:t>
      </w:r>
    </w:p>
    <w:p>
      <w:pPr>
        <w:pStyle w:val="26"/>
        <w:spacing w:line="400" w:lineRule="exact"/>
        <w:rPr>
          <w:rFonts w:ascii="仿宋_GB2312" w:hAnsi="宋体" w:eastAsia="仿宋_GB2312"/>
          <w:sz w:val="24"/>
          <w:szCs w:val="24"/>
        </w:rPr>
      </w:pPr>
      <w:r>
        <w:rPr>
          <w:rFonts w:hint="eastAsia" w:ascii="仿宋_GB2312" w:hAnsi="宋体" w:eastAsia="仿宋_GB2312"/>
          <w:sz w:val="24"/>
          <w:szCs w:val="24"/>
        </w:rPr>
        <w:t>41．履约担保返还时限：</w:t>
      </w:r>
    </w:p>
    <w:p>
      <w:pPr>
        <w:pStyle w:val="26"/>
        <w:spacing w:line="400" w:lineRule="exact"/>
        <w:ind w:firstLine="480" w:firstLineChars="200"/>
        <w:rPr>
          <w:rFonts w:ascii="仿宋_GB2312" w:hAnsi="宋体" w:eastAsia="仿宋_GB2312"/>
          <w:sz w:val="24"/>
          <w:szCs w:val="24"/>
        </w:rPr>
      </w:pPr>
      <w:r>
        <w:rPr>
          <w:rFonts w:hint="eastAsia" w:ascii="仿宋_GB2312" w:hAnsi="宋体" w:eastAsia="仿宋_GB2312"/>
          <w:sz w:val="24"/>
          <w:szCs w:val="24"/>
        </w:rPr>
        <w:t>履约担保返还时限由招标人和中标人自行协商，但最迟返还时限不得超过项目竣工验收合格后28天；</w:t>
      </w:r>
    </w:p>
    <w:p>
      <w:pPr>
        <w:pStyle w:val="26"/>
        <w:spacing w:line="400" w:lineRule="exact"/>
        <w:rPr>
          <w:rFonts w:ascii="仿宋_GB2312" w:hAnsi="宋体" w:eastAsia="仿宋_GB2312"/>
          <w:sz w:val="24"/>
          <w:szCs w:val="24"/>
        </w:rPr>
      </w:pPr>
      <w:r>
        <w:rPr>
          <w:rFonts w:hint="eastAsia" w:ascii="仿宋_GB2312" w:hAnsi="宋体" w:eastAsia="仿宋_GB2312"/>
          <w:sz w:val="24"/>
          <w:szCs w:val="24"/>
        </w:rPr>
        <w:t>42.支付担保</w:t>
      </w:r>
    </w:p>
    <w:p>
      <w:pPr>
        <w:adjustRightInd w:val="0"/>
        <w:snapToGrid w:val="0"/>
        <w:spacing w:beforeLines="20" w:afterLines="20" w:line="400" w:lineRule="exact"/>
        <w:ind w:firstLine="500"/>
        <w:rPr>
          <w:rFonts w:ascii="仿宋_GB2312" w:hAnsi="宋体" w:eastAsia="仿宋_GB2312"/>
          <w:sz w:val="24"/>
        </w:rPr>
      </w:pPr>
      <w:r>
        <w:rPr>
          <w:rFonts w:hint="eastAsia" w:ascii="仿宋_GB2312" w:hAnsi="宋体" w:eastAsia="仿宋_GB2312"/>
          <w:sz w:val="24"/>
        </w:rPr>
        <w:t>本工程是否实行工程款支付担保及有关规定见前附表规定，如实行，招标人最迟也将在签订合同的同时向中标人提交。</w:t>
      </w:r>
    </w:p>
    <w:p>
      <w:pPr>
        <w:spacing w:line="360" w:lineRule="exact"/>
        <w:ind w:firstLine="480" w:firstLineChars="200"/>
        <w:rPr>
          <w:rFonts w:ascii="仿宋_GB2312" w:hAnsi="宋体" w:eastAsia="仿宋_GB2312"/>
          <w:sz w:val="24"/>
        </w:rPr>
      </w:pPr>
    </w:p>
    <w:p>
      <w:pPr>
        <w:pStyle w:val="3"/>
        <w:spacing w:line="360" w:lineRule="exact"/>
        <w:rPr>
          <w:rFonts w:ascii="仿宋_GB2312" w:hAnsi="宋体" w:eastAsia="仿宋_GB2312"/>
          <w:sz w:val="32"/>
          <w:szCs w:val="32"/>
        </w:rPr>
      </w:pPr>
      <w:r>
        <w:rPr>
          <w:rFonts w:hint="eastAsia" w:ascii="仿宋_GB2312" w:hAnsi="宋体" w:eastAsia="仿宋_GB2312"/>
          <w:sz w:val="32"/>
          <w:szCs w:val="32"/>
        </w:rPr>
        <w:t>（九）异议、投诉、举报</w:t>
      </w:r>
    </w:p>
    <w:p>
      <w:pPr>
        <w:ind w:left="210" w:leftChars="100"/>
        <w:rPr>
          <w:rFonts w:ascii="仿宋_GB2312" w:hAnsi="宋体" w:eastAsia="仿宋_GB2312"/>
          <w:sz w:val="24"/>
        </w:rPr>
      </w:pPr>
      <w:r>
        <w:rPr>
          <w:rFonts w:ascii="仿宋_GB2312" w:hAnsi="宋体" w:eastAsia="仿宋_GB2312"/>
          <w:sz w:val="24"/>
        </w:rPr>
        <w:t>43.</w:t>
      </w:r>
      <w:r>
        <w:rPr>
          <w:rFonts w:hint="eastAsia" w:ascii="仿宋_GB2312" w:hAnsi="宋体" w:eastAsia="仿宋_GB2312"/>
          <w:sz w:val="24"/>
        </w:rPr>
        <w:t>异议</w:t>
      </w:r>
    </w:p>
    <w:p>
      <w:pPr>
        <w:ind w:left="210" w:leftChars="100"/>
        <w:rPr>
          <w:rFonts w:ascii="仿宋_GB2312" w:hAnsi="宋体" w:eastAsia="仿宋_GB2312"/>
          <w:sz w:val="24"/>
        </w:rPr>
      </w:pPr>
      <w:r>
        <w:rPr>
          <w:rFonts w:hint="eastAsia" w:ascii="仿宋_GB2312" w:hAnsi="宋体" w:eastAsia="仿宋_GB2312"/>
          <w:sz w:val="24"/>
        </w:rPr>
        <w:t>投标人如果认为自己的权益受到损害，通过蚌埠市公共资源电子交易系统，按照蚌埠市公共资源交易中心网站发布的《关于进一步规范异议质疑答复工作有关事项的通知》、《异议质疑受理操作指南》要求，提交异议。</w:t>
      </w:r>
    </w:p>
    <w:p>
      <w:pPr>
        <w:ind w:left="210" w:leftChars="100"/>
        <w:rPr>
          <w:rFonts w:ascii="仿宋_GB2312" w:hAnsi="宋体" w:eastAsia="仿宋_GB2312"/>
          <w:sz w:val="24"/>
        </w:rPr>
      </w:pPr>
      <w:r>
        <w:rPr>
          <w:rFonts w:ascii="仿宋_GB2312" w:hAnsi="宋体" w:eastAsia="仿宋_GB2312"/>
          <w:sz w:val="24"/>
        </w:rPr>
        <w:t>44</w:t>
      </w:r>
      <w:r>
        <w:rPr>
          <w:rFonts w:hint="eastAsia" w:ascii="仿宋_GB2312" w:hAnsi="宋体" w:eastAsia="仿宋_GB2312"/>
          <w:sz w:val="24"/>
        </w:rPr>
        <w:t>.投诉</w:t>
      </w:r>
    </w:p>
    <w:p>
      <w:pPr>
        <w:ind w:firstLine="480" w:firstLineChars="200"/>
        <w:rPr>
          <w:rFonts w:ascii="仿宋_GB2312" w:hAnsi="宋体" w:eastAsia="仿宋_GB2312"/>
          <w:sz w:val="24"/>
        </w:rPr>
      </w:pPr>
      <w:r>
        <w:rPr>
          <w:rFonts w:ascii="仿宋_GB2312" w:hAnsi="宋体" w:eastAsia="仿宋_GB2312"/>
          <w:sz w:val="24"/>
        </w:rPr>
        <w:t>44.1</w:t>
      </w:r>
      <w:r>
        <w:rPr>
          <w:rFonts w:hint="eastAsia" w:ascii="仿宋_GB2312" w:hAnsi="宋体" w:eastAsia="仿宋_GB2312"/>
          <w:sz w:val="24"/>
        </w:rPr>
        <w:t>投标人或者其他利害关系人认为招标投标活动不符合法律、行政法规规定的，可以自知道或者应当知道之日起</w:t>
      </w:r>
      <w:r>
        <w:rPr>
          <w:rFonts w:ascii="仿宋_GB2312" w:hAnsi="宋体" w:eastAsia="仿宋_GB2312"/>
          <w:sz w:val="24"/>
        </w:rPr>
        <w:t>10</w:t>
      </w:r>
      <w:r>
        <w:rPr>
          <w:rFonts w:hint="eastAsia" w:ascii="仿宋_GB2312" w:hAnsi="宋体" w:eastAsia="仿宋_GB2312"/>
          <w:sz w:val="24"/>
        </w:rPr>
        <w:t>日内向有关行政监督部门投诉。投诉应当有明确的请求和必要的证明材料。</w:t>
      </w:r>
    </w:p>
    <w:p>
      <w:pPr>
        <w:ind w:firstLine="480" w:firstLineChars="200"/>
        <w:rPr>
          <w:rFonts w:ascii="仿宋_GB2312" w:hAnsi="宋体" w:eastAsia="仿宋_GB2312"/>
          <w:sz w:val="24"/>
        </w:rPr>
      </w:pPr>
      <w:r>
        <w:rPr>
          <w:rFonts w:ascii="仿宋_GB2312" w:hAnsi="宋体" w:eastAsia="仿宋_GB2312"/>
          <w:sz w:val="24"/>
        </w:rPr>
        <w:t>44.2</w:t>
      </w:r>
      <w:r>
        <w:rPr>
          <w:rFonts w:hint="eastAsia" w:ascii="仿宋_GB2312" w:hAnsi="宋体" w:eastAsia="仿宋_GB2312"/>
          <w:sz w:val="24"/>
        </w:rPr>
        <w:t>投标人或者其他利害关系人对招标文件、开标和评标结果提出投诉的，应当按照规定先向招标人提出异议。</w:t>
      </w:r>
    </w:p>
    <w:p>
      <w:pPr>
        <w:ind w:firstLine="480" w:firstLineChars="200"/>
        <w:rPr>
          <w:rFonts w:ascii="仿宋_GB2312" w:hAnsi="宋体" w:eastAsia="仿宋_GB2312"/>
          <w:sz w:val="24"/>
        </w:rPr>
      </w:pPr>
      <w:r>
        <w:rPr>
          <w:rFonts w:ascii="仿宋_GB2312" w:hAnsi="宋体" w:eastAsia="仿宋_GB2312"/>
          <w:sz w:val="24"/>
        </w:rPr>
        <w:t>44.3</w:t>
      </w:r>
      <w:r>
        <w:rPr>
          <w:rFonts w:hint="eastAsia" w:ascii="仿宋_GB2312" w:hAnsi="宋体" w:eastAsia="仿宋_GB2312"/>
          <w:sz w:val="24"/>
        </w:rPr>
        <w:t>投诉人有下列情形之一的，属于虚假、恶意投诉，招投标监督管理部门将驳回投诉，将其列入不良行为记录名单，并依法予以处罚：</w:t>
      </w:r>
    </w:p>
    <w:p>
      <w:pPr>
        <w:ind w:firstLine="480" w:firstLineChars="200"/>
        <w:rPr>
          <w:rFonts w:ascii="仿宋_GB2312" w:hAnsi="宋体" w:eastAsia="仿宋_GB2312"/>
          <w:sz w:val="24"/>
        </w:rPr>
      </w:pPr>
      <w:r>
        <w:rPr>
          <w:rFonts w:hint="eastAsia" w:ascii="仿宋_GB2312" w:hAnsi="宋体" w:eastAsia="仿宋_GB2312"/>
          <w:sz w:val="24"/>
        </w:rPr>
        <w:t>（</w:t>
      </w:r>
      <w:r>
        <w:rPr>
          <w:rFonts w:ascii="仿宋_GB2312" w:hAnsi="宋体" w:eastAsia="仿宋_GB2312"/>
          <w:sz w:val="24"/>
        </w:rPr>
        <w:t>1</w:t>
      </w:r>
      <w:r>
        <w:rPr>
          <w:rFonts w:hint="eastAsia" w:ascii="仿宋_GB2312" w:hAnsi="宋体" w:eastAsia="仿宋_GB2312"/>
          <w:sz w:val="24"/>
        </w:rPr>
        <w:t>）一年内三次以上投诉均查无实据的；</w:t>
      </w:r>
    </w:p>
    <w:p>
      <w:pPr>
        <w:ind w:firstLine="480" w:firstLineChars="200"/>
        <w:rPr>
          <w:rFonts w:ascii="仿宋_GB2312" w:hAnsi="宋体" w:eastAsia="仿宋_GB2312"/>
          <w:sz w:val="24"/>
        </w:rPr>
      </w:pPr>
      <w:r>
        <w:rPr>
          <w:rFonts w:hint="eastAsia" w:ascii="仿宋_GB2312" w:hAnsi="宋体" w:eastAsia="仿宋_GB2312"/>
          <w:sz w:val="24"/>
        </w:rPr>
        <w:t>（</w:t>
      </w:r>
      <w:r>
        <w:rPr>
          <w:rFonts w:ascii="仿宋_GB2312" w:hAnsi="宋体" w:eastAsia="仿宋_GB2312"/>
          <w:sz w:val="24"/>
        </w:rPr>
        <w:t>2</w:t>
      </w:r>
      <w:r>
        <w:rPr>
          <w:rFonts w:hint="eastAsia" w:ascii="仿宋_GB2312" w:hAnsi="宋体" w:eastAsia="仿宋_GB2312"/>
          <w:sz w:val="24"/>
        </w:rPr>
        <w:t>）捏造事实或者提供虚假投诉材料的；</w:t>
      </w:r>
    </w:p>
    <w:p>
      <w:pPr>
        <w:ind w:firstLine="480" w:firstLineChars="200"/>
        <w:rPr>
          <w:rFonts w:ascii="仿宋_GB2312" w:hAnsi="宋体" w:eastAsia="仿宋_GB2312"/>
          <w:sz w:val="24"/>
        </w:rPr>
      </w:pPr>
      <w:r>
        <w:rPr>
          <w:rFonts w:hint="eastAsia" w:ascii="仿宋_GB2312" w:hAnsi="宋体" w:eastAsia="仿宋_GB2312"/>
          <w:sz w:val="24"/>
        </w:rPr>
        <w:t>（</w:t>
      </w:r>
      <w:r>
        <w:rPr>
          <w:rFonts w:ascii="仿宋_GB2312" w:hAnsi="宋体" w:eastAsia="仿宋_GB2312"/>
          <w:sz w:val="24"/>
        </w:rPr>
        <w:t>3</w:t>
      </w:r>
      <w:r>
        <w:rPr>
          <w:rFonts w:hint="eastAsia" w:ascii="仿宋_GB2312" w:hAnsi="宋体" w:eastAsia="仿宋_GB2312"/>
          <w:sz w:val="24"/>
        </w:rPr>
        <w:t>）其他经认定属于虚假、恶意投诉的行为。</w:t>
      </w:r>
    </w:p>
    <w:p>
      <w:pPr>
        <w:ind w:left="210" w:leftChars="100"/>
        <w:rPr>
          <w:rFonts w:ascii="仿宋_GB2312" w:hAnsi="宋体" w:eastAsia="仿宋_GB2312"/>
          <w:sz w:val="24"/>
        </w:rPr>
      </w:pPr>
      <w:r>
        <w:rPr>
          <w:rFonts w:ascii="仿宋_GB2312" w:hAnsi="宋体" w:eastAsia="仿宋_GB2312"/>
          <w:sz w:val="24"/>
        </w:rPr>
        <w:t>45.</w:t>
      </w:r>
      <w:r>
        <w:rPr>
          <w:rFonts w:hint="eastAsia" w:ascii="仿宋_GB2312" w:hAnsi="宋体" w:eastAsia="仿宋_GB2312"/>
          <w:sz w:val="24"/>
        </w:rPr>
        <w:t>举报</w:t>
      </w:r>
    </w:p>
    <w:p>
      <w:pPr>
        <w:ind w:firstLine="480" w:firstLineChars="200"/>
        <w:rPr>
          <w:rFonts w:ascii="仿宋_GB2312" w:hAnsi="宋体" w:eastAsia="仿宋_GB2312"/>
          <w:sz w:val="24"/>
        </w:rPr>
      </w:pPr>
      <w:r>
        <w:rPr>
          <w:rFonts w:ascii="仿宋_GB2312" w:hAnsi="宋体" w:eastAsia="仿宋_GB2312"/>
          <w:sz w:val="24"/>
        </w:rPr>
        <w:t>本项目以举报形式反映违法违规行为的，按照《蚌埠市公共资源交易活动质疑异议和投诉举报暂行规定》执行，且必须在中标候选人公示结束前一次性提出，公示结束后不予受理。</w:t>
      </w:r>
    </w:p>
    <w:p>
      <w:pPr>
        <w:spacing w:line="360" w:lineRule="exact"/>
        <w:ind w:firstLine="480" w:firstLineChars="200"/>
        <w:rPr>
          <w:rFonts w:ascii="仿宋_GB2312" w:hAnsi="宋体" w:eastAsia="仿宋_GB2312"/>
          <w:sz w:val="24"/>
        </w:rPr>
      </w:pPr>
    </w:p>
    <w:p>
      <w:pPr>
        <w:pStyle w:val="3"/>
        <w:spacing w:line="360" w:lineRule="exact"/>
        <w:rPr>
          <w:rFonts w:ascii="仿宋_GB2312" w:hAnsi="宋体" w:eastAsia="仿宋_GB2312"/>
          <w:sz w:val="32"/>
          <w:szCs w:val="32"/>
        </w:rPr>
      </w:pPr>
      <w:r>
        <w:rPr>
          <w:rFonts w:hint="eastAsia" w:ascii="仿宋_GB2312" w:hAnsi="宋体" w:eastAsia="仿宋_GB2312"/>
          <w:sz w:val="32"/>
          <w:szCs w:val="32"/>
        </w:rPr>
        <w:t>（十）纪律和监督</w:t>
      </w:r>
    </w:p>
    <w:p>
      <w:pPr>
        <w:spacing w:line="360" w:lineRule="exact"/>
        <w:ind w:firstLine="480" w:firstLineChars="200"/>
        <w:rPr>
          <w:rFonts w:ascii="仿宋_GB2312" w:hAnsi="宋体" w:eastAsia="仿宋_GB2312"/>
          <w:color w:val="FF0000"/>
          <w:sz w:val="24"/>
        </w:rPr>
      </w:pPr>
      <w:r>
        <w:rPr>
          <w:rFonts w:ascii="仿宋_GB2312" w:hAnsi="宋体" w:eastAsia="仿宋_GB2312"/>
          <w:color w:val="FF0000"/>
          <w:sz w:val="24"/>
        </w:rPr>
        <w:t>46</w:t>
      </w:r>
      <w:r>
        <w:rPr>
          <w:rFonts w:hint="eastAsia" w:ascii="仿宋_GB2312" w:hAnsi="宋体" w:eastAsia="仿宋_GB2312"/>
          <w:color w:val="FF0000"/>
          <w:sz w:val="24"/>
        </w:rPr>
        <w:t>.对招标人的纪律要求</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招标人不得泄露招标投标活动中应当保密的情况和资料，不得与投标人串通损害国家利益、社会公共利益或者他人合法权益。</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有下列情形之一的，属于招标人与投标人串通投标：</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（1）招标人在开标前开启投标文件并将有关信息泄露给其他投标人；</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（2）招标人直接或者间接向投标人泄露评标委员会成员等信息；</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（3）招标人明示或者暗示投标人压低或者抬高投标报价；</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（4）招标人授意投标人撤换、修改投标文件；</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（5）招标人明示或者暗示投标人为特定投标人中标提供方便；</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（6）招标人与投标人为谋求特定投标人中标而采取的其他串通行为。</w:t>
      </w:r>
    </w:p>
    <w:p>
      <w:pPr>
        <w:spacing w:line="360" w:lineRule="exact"/>
        <w:ind w:firstLine="480" w:firstLineChars="200"/>
        <w:rPr>
          <w:rFonts w:ascii="仿宋_GB2312" w:hAnsi="宋体" w:eastAsia="仿宋_GB2312"/>
          <w:color w:val="FF0000"/>
          <w:sz w:val="24"/>
        </w:rPr>
      </w:pPr>
      <w:r>
        <w:rPr>
          <w:rFonts w:ascii="仿宋_GB2312" w:hAnsi="宋体" w:eastAsia="仿宋_GB2312"/>
          <w:color w:val="FF0000"/>
          <w:sz w:val="24"/>
        </w:rPr>
        <w:t>47.</w:t>
      </w:r>
      <w:r>
        <w:rPr>
          <w:rFonts w:hint="eastAsia" w:ascii="仿宋_GB2312" w:hAnsi="宋体" w:eastAsia="仿宋_GB2312"/>
          <w:color w:val="FF0000"/>
          <w:sz w:val="24"/>
        </w:rPr>
        <w:t>对投标人的纪律要求</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投标人不得相互串通投标或者与招标人串通投标，不得向招标人或者评标委员会成员行贿谋取中标，不得以他人名义投标、出借借用资质或以其他方式弄虚作假骗取中标；投标人不得以任何方式干扰、影响评标工作。</w:t>
      </w:r>
    </w:p>
    <w:p>
      <w:pPr>
        <w:spacing w:line="360" w:lineRule="exact"/>
        <w:ind w:firstLine="480" w:firstLineChars="200"/>
        <w:rPr>
          <w:rFonts w:ascii="仿宋_GB2312" w:hAnsi="宋体" w:eastAsia="仿宋_GB2312"/>
          <w:color w:val="FF0000"/>
          <w:sz w:val="24"/>
        </w:rPr>
      </w:pPr>
      <w:r>
        <w:rPr>
          <w:rFonts w:ascii="仿宋_GB2312" w:hAnsi="宋体" w:eastAsia="仿宋_GB2312"/>
          <w:color w:val="FF0000"/>
          <w:sz w:val="24"/>
        </w:rPr>
        <w:t>47</w:t>
      </w:r>
      <w:r>
        <w:rPr>
          <w:rFonts w:hint="eastAsia" w:ascii="仿宋_GB2312" w:hAnsi="宋体" w:eastAsia="仿宋_GB2312"/>
          <w:color w:val="FF0000"/>
          <w:sz w:val="24"/>
        </w:rPr>
        <w:t>.1 以他人名义投标的情形</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（1）使用通过受让或者租借等方式获取的资格、资质证书投标的，属于以他人名义投标。</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（2）下列行为视为以他人名义投标：</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1）投标人挂靠其他单位；</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2）由其它单位及法定代表人在自己编制的投标文件上加盖电子印章/电子签名章；</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3）法律法规规定的其它情形。</w:t>
      </w:r>
    </w:p>
    <w:p>
      <w:pPr>
        <w:spacing w:line="360" w:lineRule="exact"/>
        <w:ind w:firstLine="480" w:firstLineChars="200"/>
        <w:rPr>
          <w:rFonts w:ascii="仿宋_GB2312" w:hAnsi="宋体" w:eastAsia="仿宋_GB2312"/>
          <w:color w:val="FF0000"/>
          <w:sz w:val="24"/>
        </w:rPr>
      </w:pPr>
      <w:r>
        <w:rPr>
          <w:rFonts w:ascii="仿宋_GB2312" w:hAnsi="宋体" w:eastAsia="仿宋_GB2312"/>
          <w:color w:val="FF0000"/>
          <w:sz w:val="24"/>
        </w:rPr>
        <w:t>47</w:t>
      </w:r>
      <w:r>
        <w:rPr>
          <w:rFonts w:hint="eastAsia" w:ascii="仿宋_GB2312" w:hAnsi="宋体" w:eastAsia="仿宋_GB2312"/>
          <w:color w:val="FF0000"/>
          <w:sz w:val="24"/>
        </w:rPr>
        <w:t>.2出借借用资质的情形</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出借借用资质，是指允许其他单位、个人以本单位名义承揽工程或者单位、个人以其他单位的名义承揽工程的行为。在此所称承揽工程，包括参与投标、订立合同、办理有关施工手续、从事施工等活动。</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具有下列情形之一的，认定为出借借用资质：</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（1）单位或个人借用其他单位的资质承揽工程的；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（2）投标人法定代表人的授权代表人不是投标人本单位人员的；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（3）实际中标单位使用承包人资质中标后，以承包人分公司、项目部等名义组织实施，但两者无实质产权、人事、财务关系的；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（4）工程分包的发包单位不是该工程的承包人的，但项目法人依约作为发包单位的除外；</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（5）劳务作业分包的发包单位不是该工程的承包人或工程分包单位的；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（6）投标人拟担任本工程或派驻施工现场的项目经理、技术负责人、财务负责人、质量管理人员、安全管理人员（ 专职安全生产管理人员）中部分人员不是本单位人员的；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（7）承包人与发包人之间没有工程款收付关系，或者工程款支付凭证上载明的单位与合同中载明的承包单位不一致的；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（8）合同约定由承包人负责采购、租赁的主要建筑材料、工程设备等，由其他单位或个人采购、租赁，或者承包人不能提供有关采购、租赁合同及发票等证明，又不能进行合理解释并提供材料证明的；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（9）通过出租、出借资质证书或者收取管理费等方式允许他人以本单位名义承接工程；</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（10）投标保证金非投标单位银行基本账户转出，或虽由投标单位银行基本账户转出，但先由非投标单位人员将投标保证金存入投标单位或有关个人账户，或以其他方式抵押的；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（11）项目资金未实行项目资金专户管理或独立核算制度的，财务管理人员（财务主管和出纳）非本单位人员，或项目资金的使用未经项目经理本人签字、审批的；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（12）中标后，承包合同约定的施工项目主要管理人员不到岗或严重缺岗（主要施工时段2/3以上时间缺岗）；</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（13）投标人中标后，交由其子公司承担合同施工任务的；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（14）法律法规规定的其他出借借用资质行为。</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 xml:space="preserve">  其中，投标人本单位人员，必须同时满足以下条件：（1）聘用合同必须由投标人单位与之签订；（2）与投标人单位有合法的工资关系；（3）投标人单位为其办理社会保险，或能提供注册地县级及以上行政主管部门、人力资源和社会保障或编制部门出具的有效证明其属事业编制身份、在该单位从业的证明文件。</w:t>
      </w:r>
    </w:p>
    <w:p>
      <w:pPr>
        <w:spacing w:line="360" w:lineRule="exact"/>
        <w:ind w:firstLine="480" w:firstLineChars="200"/>
        <w:rPr>
          <w:rFonts w:ascii="仿宋_GB2312" w:hAnsi="宋体" w:eastAsia="仿宋_GB2312"/>
          <w:color w:val="FF0000"/>
          <w:sz w:val="24"/>
        </w:rPr>
      </w:pPr>
      <w:r>
        <w:rPr>
          <w:rFonts w:ascii="仿宋_GB2312" w:hAnsi="宋体" w:eastAsia="仿宋_GB2312"/>
          <w:color w:val="FF0000"/>
          <w:sz w:val="24"/>
        </w:rPr>
        <w:t>47</w:t>
      </w:r>
      <w:r>
        <w:rPr>
          <w:rFonts w:hint="eastAsia" w:ascii="仿宋_GB2312" w:hAnsi="宋体" w:eastAsia="仿宋_GB2312"/>
          <w:color w:val="FF0000"/>
          <w:sz w:val="24"/>
        </w:rPr>
        <w:t>.3 下列情形视为允许他人以本单位名义承揽工程：</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w:t>
      </w:r>
      <w:r>
        <w:rPr>
          <w:rFonts w:hint="eastAsia" w:ascii="仿宋_GB2312" w:hAnsi="宋体" w:eastAsia="仿宋_GB2312"/>
          <w:color w:val="FF0000"/>
          <w:sz w:val="24"/>
        </w:rPr>
        <w:tab/>
      </w:r>
      <w:r>
        <w:rPr>
          <w:rFonts w:hint="eastAsia" w:ascii="仿宋_GB2312" w:hAnsi="宋体" w:eastAsia="仿宋_GB2312"/>
          <w:color w:val="FF0000"/>
          <w:sz w:val="24"/>
        </w:rPr>
        <w:t>投标人的法定代表人的委托代理人不是投标人本单位人员；</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（2）</w:t>
      </w:r>
      <w:r>
        <w:rPr>
          <w:rFonts w:hint="eastAsia" w:ascii="仿宋_GB2312" w:hAnsi="宋体" w:eastAsia="仿宋_GB2312"/>
          <w:color w:val="FF0000"/>
          <w:sz w:val="24"/>
        </w:rPr>
        <w:tab/>
      </w:r>
      <w:r>
        <w:rPr>
          <w:rFonts w:hint="eastAsia" w:ascii="仿宋_GB2312" w:hAnsi="宋体" w:eastAsia="仿宋_GB2312"/>
          <w:color w:val="FF0000"/>
          <w:sz w:val="24"/>
        </w:rPr>
        <w:t>投标人拟在施工现场所设项目管理机构的项目经理、技术负责人、财务负责人、质量管理人员、安全管理人员（ 专职安全生产管理人员）不是本单位人员；</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（3）</w:t>
      </w:r>
      <w:r>
        <w:rPr>
          <w:rFonts w:hint="eastAsia" w:ascii="仿宋_GB2312" w:hAnsi="宋体" w:eastAsia="仿宋_GB2312"/>
          <w:color w:val="FF0000"/>
          <w:sz w:val="24"/>
        </w:rPr>
        <w:tab/>
      </w:r>
      <w:r>
        <w:rPr>
          <w:rFonts w:hint="eastAsia" w:ascii="仿宋_GB2312" w:hAnsi="宋体" w:eastAsia="仿宋_GB2312"/>
          <w:color w:val="FF0000"/>
          <w:sz w:val="24"/>
        </w:rPr>
        <w:t>通过出租、出借资质证书或者收取管理费等方式允许他人以本单位名义承接工程；</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（4）</w:t>
      </w:r>
      <w:r>
        <w:rPr>
          <w:rFonts w:hint="eastAsia" w:ascii="仿宋_GB2312" w:hAnsi="宋体" w:eastAsia="仿宋_GB2312"/>
          <w:color w:val="FF0000"/>
          <w:sz w:val="24"/>
        </w:rPr>
        <w:tab/>
      </w:r>
      <w:r>
        <w:rPr>
          <w:rFonts w:hint="eastAsia" w:ascii="仿宋_GB2312" w:hAnsi="宋体" w:eastAsia="仿宋_GB2312"/>
          <w:color w:val="FF0000"/>
          <w:sz w:val="24"/>
        </w:rPr>
        <w:t>投标保证金非投标单位银行基本账户转出，或虽由投标单位银行基本账户转出，但先由非投标单位人员将投标保证金存入投标单位或有关个人账户，或以其他方式抵押的；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（5）</w:t>
      </w:r>
      <w:r>
        <w:rPr>
          <w:rFonts w:hint="eastAsia" w:ascii="仿宋_GB2312" w:hAnsi="宋体" w:eastAsia="仿宋_GB2312"/>
          <w:color w:val="FF0000"/>
          <w:sz w:val="24"/>
        </w:rPr>
        <w:tab/>
      </w:r>
      <w:r>
        <w:rPr>
          <w:rFonts w:hint="eastAsia" w:ascii="仿宋_GB2312" w:hAnsi="宋体" w:eastAsia="仿宋_GB2312"/>
          <w:color w:val="FF0000"/>
          <w:sz w:val="24"/>
        </w:rPr>
        <w:t>项目资金未实行项目资金专户管理或独立核算制度的，财务管理人员（财务主管和出纳）非本单位人员，或项目资金的使用未经项目经理本人签字、审批的；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（6）</w:t>
      </w:r>
      <w:r>
        <w:rPr>
          <w:rFonts w:hint="eastAsia" w:ascii="仿宋_GB2312" w:hAnsi="宋体" w:eastAsia="仿宋_GB2312"/>
          <w:color w:val="FF0000"/>
          <w:sz w:val="24"/>
        </w:rPr>
        <w:tab/>
      </w:r>
      <w:r>
        <w:rPr>
          <w:rFonts w:hint="eastAsia" w:ascii="仿宋_GB2312" w:hAnsi="宋体" w:eastAsia="仿宋_GB2312"/>
          <w:color w:val="FF0000"/>
          <w:sz w:val="24"/>
        </w:rPr>
        <w:t>中标后，承包合同约定的施工项目主要管理人员不到岗或严重缺岗（主要施工时段2/3以上时间缺岗），而实际由他人履行职责且他人非本单位人员的（项目经理换为非本单位人员，或其他主要管理人员有3个及以上换为非本单位人员）；</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（7）</w:t>
      </w:r>
      <w:r>
        <w:rPr>
          <w:rFonts w:hint="eastAsia" w:ascii="仿宋_GB2312" w:hAnsi="宋体" w:eastAsia="仿宋_GB2312"/>
          <w:color w:val="FF0000"/>
          <w:sz w:val="24"/>
        </w:rPr>
        <w:tab/>
      </w:r>
      <w:r>
        <w:rPr>
          <w:rFonts w:hint="eastAsia" w:ascii="仿宋_GB2312" w:hAnsi="宋体" w:eastAsia="仿宋_GB2312"/>
          <w:color w:val="FF0000"/>
          <w:sz w:val="24"/>
        </w:rPr>
        <w:t>投标人中标后，交由其子公司承担合同施工任务的；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（8）</w:t>
      </w:r>
      <w:r>
        <w:rPr>
          <w:rFonts w:hint="eastAsia" w:ascii="仿宋_GB2312" w:hAnsi="宋体" w:eastAsia="仿宋_GB2312"/>
          <w:color w:val="FF0000"/>
          <w:sz w:val="24"/>
        </w:rPr>
        <w:tab/>
      </w:r>
      <w:r>
        <w:rPr>
          <w:rFonts w:hint="eastAsia" w:ascii="仿宋_GB2312" w:hAnsi="宋体" w:eastAsia="仿宋_GB2312"/>
          <w:color w:val="FF0000"/>
          <w:sz w:val="24"/>
        </w:rPr>
        <w:t>项目施工中的劳务合同、材料采购合同和机械设备租赁合同不是由中标单位派驻现场的项目部签订；</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（9）法律法规规定的其它情形。</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上述条件中，投标人本单位人员，必须同时满足以下条件：</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（1）聘用合同必须由投标人单位与之签订；</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（2）与投标人单位有合法的工资关系；</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（3）投标人单位为其办理社会保险关系，或能提供注册地县级及以上行政主管部门、人力资源和社会保障或编制部门出具的有效证明其属事业编制身份、在该单位从业的证明文件。</w:t>
      </w:r>
    </w:p>
    <w:p>
      <w:pPr>
        <w:spacing w:line="360" w:lineRule="exact"/>
        <w:ind w:firstLine="480" w:firstLineChars="200"/>
        <w:rPr>
          <w:rFonts w:ascii="仿宋_GB2312" w:hAnsi="宋体" w:eastAsia="仿宋_GB2312"/>
          <w:color w:val="FF0000"/>
          <w:sz w:val="24"/>
        </w:rPr>
      </w:pPr>
      <w:r>
        <w:rPr>
          <w:rFonts w:ascii="仿宋_GB2312" w:hAnsi="宋体" w:eastAsia="仿宋_GB2312"/>
          <w:color w:val="FF0000"/>
          <w:sz w:val="24"/>
        </w:rPr>
        <w:t>47</w:t>
      </w:r>
      <w:r>
        <w:rPr>
          <w:rFonts w:hint="eastAsia" w:ascii="仿宋_GB2312" w:hAnsi="宋体" w:eastAsia="仿宋_GB2312"/>
          <w:color w:val="FF0000"/>
          <w:sz w:val="24"/>
        </w:rPr>
        <w:t>.4下列情形视为投标人相互串通投标：</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 xml:space="preserve">    （1）不同投标人的投标文件由同一单位或者个人编制；</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 xml:space="preserve">    （2）不同投标人委托同一单位或者个人办理投标事宜；</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 xml:space="preserve">    （3）不同投标人的投标文件载明的项目管理成员为同一人；</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 xml:space="preserve">    （4）不同投标人的投标文件异常一致（投标人针对投标项目特点自行编制部分出现内容、格式、标准、编号等异常一致或3（含）处以上错误雷同的）或者投标报价呈规律性差异；</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 xml:space="preserve">    （5）不同投标人的投标文件相互混装；</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 xml:space="preserve">    （6）不同投标人的投标保证金从同一单位或者个人的账户转出；</w:t>
      </w:r>
    </w:p>
    <w:p>
      <w:pPr>
        <w:spacing w:line="360" w:lineRule="exact"/>
        <w:ind w:firstLine="960" w:firstLineChars="400"/>
        <w:rPr>
          <w:rFonts w:ascii="仿宋_GB2312" w:hAnsi="宋体" w:eastAsia="仿宋_GB2312"/>
          <w:color w:val="FF0000"/>
          <w:sz w:val="24"/>
        </w:rPr>
      </w:pPr>
      <w:r>
        <w:rPr>
          <w:rFonts w:hint="eastAsia" w:ascii="仿宋_GB2312" w:hAnsi="宋体" w:eastAsia="仿宋_GB2312"/>
          <w:color w:val="FF0000"/>
          <w:sz w:val="24"/>
        </w:rPr>
        <w:t>（7）投标人串通投标报价：</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w:t>
      </w:r>
      <w:r>
        <w:rPr>
          <w:rFonts w:hint="eastAsia" w:ascii="仿宋_GB2312" w:hAnsi="宋体" w:eastAsia="仿宋_GB2312"/>
          <w:color w:val="FF0000"/>
          <w:sz w:val="24"/>
        </w:rPr>
        <w:tab/>
      </w:r>
      <w:r>
        <w:rPr>
          <w:rFonts w:hint="eastAsia" w:ascii="仿宋_GB2312" w:hAnsi="宋体" w:eastAsia="仿宋_GB2312"/>
          <w:color w:val="FF0000"/>
          <w:sz w:val="24"/>
        </w:rPr>
        <w:t>投标人之间相互约定抬高或压低投标报价；</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2)</w:t>
      </w:r>
      <w:r>
        <w:rPr>
          <w:rFonts w:hint="eastAsia" w:ascii="仿宋_GB2312" w:hAnsi="宋体" w:eastAsia="仿宋_GB2312"/>
          <w:color w:val="FF0000"/>
          <w:sz w:val="24"/>
        </w:rPr>
        <w:tab/>
      </w:r>
      <w:r>
        <w:rPr>
          <w:rFonts w:hint="eastAsia" w:ascii="仿宋_GB2312" w:hAnsi="宋体" w:eastAsia="仿宋_GB2312"/>
          <w:color w:val="FF0000"/>
          <w:sz w:val="24"/>
        </w:rPr>
        <w:t>投标人之间相互约定，在招标项目中分别以高、中、低价位报价；</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3)</w:t>
      </w:r>
      <w:r>
        <w:rPr>
          <w:rFonts w:hint="eastAsia" w:ascii="仿宋_GB2312" w:hAnsi="宋体" w:eastAsia="仿宋_GB2312"/>
          <w:color w:val="FF0000"/>
          <w:sz w:val="24"/>
        </w:rPr>
        <w:tab/>
      </w:r>
      <w:r>
        <w:rPr>
          <w:rFonts w:hint="eastAsia" w:ascii="仿宋_GB2312" w:hAnsi="宋体" w:eastAsia="仿宋_GB2312"/>
          <w:color w:val="FF0000"/>
          <w:sz w:val="24"/>
        </w:rPr>
        <w:t>投标人之间先进行内部竞价，内定中标人，然后再参加投标；</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4)</w:t>
      </w:r>
      <w:r>
        <w:rPr>
          <w:rFonts w:hint="eastAsia" w:ascii="仿宋_GB2312" w:hAnsi="宋体" w:eastAsia="仿宋_GB2312"/>
          <w:color w:val="FF0000"/>
          <w:sz w:val="24"/>
        </w:rPr>
        <w:tab/>
      </w:r>
      <w:r>
        <w:rPr>
          <w:rFonts w:hint="eastAsia" w:ascii="仿宋_GB2312" w:hAnsi="宋体" w:eastAsia="仿宋_GB2312"/>
          <w:color w:val="FF0000"/>
          <w:sz w:val="24"/>
        </w:rPr>
        <w:t>不同投标人为完成部分或全部清单项目所需的人工费、材料费、机械使用费、管理费和利润的价格构成全部雷同的；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5)</w:t>
      </w:r>
      <w:r>
        <w:rPr>
          <w:rFonts w:hint="eastAsia" w:ascii="仿宋_GB2312" w:hAnsi="宋体" w:eastAsia="仿宋_GB2312"/>
          <w:color w:val="FF0000"/>
          <w:sz w:val="24"/>
        </w:rPr>
        <w:tab/>
      </w:r>
      <w:r>
        <w:rPr>
          <w:rFonts w:hint="eastAsia" w:ascii="仿宋_GB2312" w:hAnsi="宋体" w:eastAsia="仿宋_GB2312"/>
          <w:color w:val="FF0000"/>
          <w:sz w:val="24"/>
        </w:rPr>
        <w:t>不同投标人的投标报价或报价组成异常一致的；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6)</w:t>
      </w:r>
      <w:r>
        <w:rPr>
          <w:rFonts w:hint="eastAsia" w:ascii="仿宋_GB2312" w:hAnsi="宋体" w:eastAsia="仿宋_GB2312"/>
          <w:color w:val="FF0000"/>
          <w:sz w:val="24"/>
        </w:rPr>
        <w:tab/>
      </w:r>
      <w:r>
        <w:rPr>
          <w:rFonts w:hint="eastAsia" w:ascii="仿宋_GB2312" w:hAnsi="宋体" w:eastAsia="仿宋_GB2312"/>
          <w:color w:val="FF0000"/>
          <w:sz w:val="24"/>
        </w:rPr>
        <w:t>投标人之间其它串通投标报价的行为。</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（8）</w:t>
      </w:r>
      <w:r>
        <w:rPr>
          <w:rFonts w:hint="eastAsia" w:ascii="仿宋_GB2312" w:hAnsi="宋体" w:eastAsia="仿宋_GB2312"/>
          <w:color w:val="FF0000"/>
          <w:sz w:val="24"/>
        </w:rPr>
        <w:tab/>
      </w:r>
      <w:r>
        <w:rPr>
          <w:rFonts w:hint="eastAsia" w:ascii="仿宋_GB2312" w:hAnsi="宋体" w:eastAsia="仿宋_GB2312"/>
          <w:color w:val="FF0000"/>
          <w:sz w:val="24"/>
        </w:rPr>
        <w:t>不同投标人投标文件的审核人为同一人或同一单位人员的；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（9）</w:t>
      </w:r>
      <w:r>
        <w:rPr>
          <w:rFonts w:hint="eastAsia" w:ascii="仿宋_GB2312" w:hAnsi="宋体" w:eastAsia="仿宋_GB2312"/>
          <w:color w:val="FF0000"/>
          <w:sz w:val="24"/>
        </w:rPr>
        <w:tab/>
      </w:r>
      <w:r>
        <w:rPr>
          <w:rFonts w:hint="eastAsia" w:ascii="仿宋_GB2312" w:hAnsi="宋体" w:eastAsia="仿宋_GB2312"/>
          <w:color w:val="FF0000"/>
          <w:sz w:val="24"/>
        </w:rPr>
        <w:t>不同投标人投标文件的授权签署人为同一人或同一单位人员的；</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（10）</w:t>
      </w:r>
      <w:r>
        <w:rPr>
          <w:rFonts w:hint="eastAsia" w:ascii="仿宋_GB2312" w:hAnsi="宋体" w:eastAsia="仿宋_GB2312"/>
          <w:color w:val="FF0000"/>
          <w:sz w:val="24"/>
        </w:rPr>
        <w:tab/>
      </w:r>
      <w:r>
        <w:rPr>
          <w:rFonts w:hint="eastAsia" w:ascii="仿宋_GB2312" w:hAnsi="宋体" w:eastAsia="仿宋_GB2312"/>
          <w:color w:val="FF0000"/>
          <w:sz w:val="24"/>
        </w:rPr>
        <w:t xml:space="preserve">不同投标人的施工组织设计方案中专门针对本工程的内容雷同的； </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（11）</w:t>
      </w:r>
      <w:r>
        <w:rPr>
          <w:rFonts w:hint="eastAsia" w:ascii="仿宋_GB2312" w:hAnsi="宋体" w:eastAsia="仿宋_GB2312"/>
          <w:color w:val="FF0000"/>
          <w:sz w:val="24"/>
        </w:rPr>
        <w:tab/>
      </w:r>
      <w:r>
        <w:rPr>
          <w:rFonts w:hint="eastAsia" w:ascii="仿宋_GB2312" w:hAnsi="宋体" w:eastAsia="仿宋_GB2312"/>
          <w:color w:val="FF0000"/>
          <w:sz w:val="24"/>
        </w:rPr>
        <w:t>不同投标人的投标文件出现评标委员会认为不应当雷同的情况的；</w:t>
      </w:r>
    </w:p>
    <w:p>
      <w:pPr>
        <w:spacing w:line="360" w:lineRule="exact"/>
        <w:ind w:firstLine="480" w:firstLineChars="200"/>
        <w:rPr>
          <w:rFonts w:hint="eastAsia" w:ascii="仿宋_GB2312" w:hAnsi="宋体" w:eastAsia="仿宋_GB2312"/>
          <w:color w:val="FF0000"/>
          <w:sz w:val="24"/>
        </w:rPr>
      </w:pPr>
      <w:r>
        <w:rPr>
          <w:rFonts w:hint="eastAsia" w:ascii="仿宋_GB2312" w:hAnsi="宋体" w:eastAsia="仿宋_GB2312"/>
          <w:color w:val="FF0000"/>
          <w:sz w:val="24"/>
        </w:rPr>
        <w:t>（12）</w:t>
      </w:r>
      <w:r>
        <w:rPr>
          <w:rFonts w:hint="eastAsia" w:ascii="仿宋_GB2312" w:hAnsi="宋体" w:eastAsia="仿宋_GB2312"/>
          <w:color w:val="FF0000"/>
          <w:sz w:val="24"/>
        </w:rPr>
        <w:tab/>
      </w:r>
      <w:r>
        <w:rPr>
          <w:rFonts w:hint="eastAsia" w:ascii="仿宋_GB2312" w:hAnsi="宋体" w:eastAsia="仿宋_GB2312"/>
          <w:color w:val="FF0000"/>
          <w:sz w:val="24"/>
        </w:rPr>
        <w:t>采用电子招标投标时，被认定为串通投标的其他情形。如：不同投标人制作或上传投标文件电脑文件制作机器码一致的、不同投标人投标文件创建码一致的、不同投标人通过同一单位的IP地址或同一IP地址下载招标文件或上传投标文件的、不同的投标人联系电话号码一致的、不同的投标人编制投标文件使用的软件锁编码一致的。</w:t>
      </w:r>
    </w:p>
    <w:p>
      <w:pPr>
        <w:spacing w:line="360" w:lineRule="exact"/>
        <w:ind w:firstLine="480" w:firstLineChars="200"/>
        <w:rPr>
          <w:rFonts w:hint="eastAsia" w:ascii="仿宋_GB2312" w:hAnsi="宋体" w:eastAsia="仿宋_GB2312"/>
          <w:color w:val="FF0000"/>
          <w:sz w:val="24"/>
        </w:rPr>
      </w:pPr>
      <w:r>
        <w:rPr>
          <w:rFonts w:hint="eastAsia" w:ascii="仿宋_GB2312" w:hAnsi="宋体" w:eastAsia="仿宋_GB2312"/>
          <w:color w:val="FF0000"/>
          <w:sz w:val="24"/>
        </w:rPr>
        <w:t>（13）</w:t>
      </w:r>
      <w:r>
        <w:rPr>
          <w:rFonts w:hint="eastAsia" w:ascii="仿宋_GB2312" w:hAnsi="宋体" w:eastAsia="仿宋_GB2312"/>
          <w:color w:val="FF0000"/>
          <w:sz w:val="24"/>
        </w:rPr>
        <w:tab/>
      </w:r>
      <w:r>
        <w:rPr>
          <w:rFonts w:hint="eastAsia" w:ascii="仿宋_GB2312" w:hAnsi="宋体" w:eastAsia="仿宋_GB2312"/>
          <w:color w:val="FF0000"/>
          <w:sz w:val="24"/>
        </w:rPr>
        <w:t>法律法规规章规定的其他围标串标行为。</w:t>
      </w:r>
    </w:p>
    <w:p>
      <w:pPr>
        <w:spacing w:line="360" w:lineRule="exact"/>
        <w:ind w:firstLine="480" w:firstLineChars="200"/>
        <w:rPr>
          <w:rFonts w:ascii="仿宋_GB2312" w:hAnsi="宋体" w:eastAsia="仿宋_GB2312"/>
          <w:color w:val="FF0000"/>
          <w:sz w:val="24"/>
        </w:rPr>
      </w:pPr>
      <w:r>
        <w:rPr>
          <w:rFonts w:ascii="仿宋_GB2312" w:hAnsi="宋体" w:eastAsia="仿宋_GB2312"/>
          <w:color w:val="FF0000"/>
          <w:sz w:val="24"/>
        </w:rPr>
        <w:t>47</w:t>
      </w:r>
      <w:r>
        <w:rPr>
          <w:rFonts w:hint="eastAsia" w:ascii="仿宋_GB2312" w:hAnsi="宋体" w:eastAsia="仿宋_GB2312"/>
          <w:color w:val="FF0000"/>
          <w:sz w:val="24"/>
        </w:rPr>
        <w:t>.5下列情形属于投标人弄虚作假投标：</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（1）使用伪造、变造的许可证件；</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（2）提供虚假的财务状况或者业绩；</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（3）提供虚假的项目负责人或者主要技术人员简历、劳动关系证明；</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（4）提供虚假的信用状况。</w:t>
      </w:r>
    </w:p>
    <w:p>
      <w:pPr>
        <w:spacing w:line="360" w:lineRule="exact"/>
        <w:ind w:firstLine="480" w:firstLineChars="200"/>
        <w:rPr>
          <w:rFonts w:ascii="仿宋_GB2312" w:hAnsi="宋体" w:eastAsia="仿宋_GB2312"/>
          <w:color w:val="FF0000"/>
          <w:sz w:val="24"/>
        </w:rPr>
      </w:pPr>
      <w:r>
        <w:rPr>
          <w:rFonts w:ascii="仿宋_GB2312" w:hAnsi="宋体" w:eastAsia="仿宋_GB2312"/>
          <w:color w:val="FF0000"/>
          <w:sz w:val="24"/>
        </w:rPr>
        <w:t>47</w:t>
      </w:r>
      <w:r>
        <w:rPr>
          <w:rFonts w:hint="eastAsia" w:ascii="仿宋_GB2312" w:hAnsi="宋体" w:eastAsia="仿宋_GB2312"/>
          <w:color w:val="FF0000"/>
          <w:sz w:val="24"/>
        </w:rPr>
        <w:t>.6下列情形视为投标人弄虚作假投标：</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（1）投标文件中的投标人单位基本情况（指：单位名称、资质、注册资金、法定代表人）存在虚假情形；</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（2）投标文件中的主要管理人员（指：项目经理、技术负责人、专职安全管理人员、质检员等）的基本情况(指：姓名、性别、身份证件、职称、学历、执业资格、执业单位、个人业绩、社保)存在虚假情形；</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（3）投标文件中的法定代表人及委托代理人签名存在虚假情形；</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（4）使用虚假公章、印章的行为；</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（5）隐瞒招标文件要求提供的信息，或者提供虚假、引人误解的其他信息的行为；</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（6）法律法规规定的其他弄虚作假行为；</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（7）其他影响公正评标的弄虚作假行为。</w:t>
      </w:r>
    </w:p>
    <w:p>
      <w:pPr>
        <w:spacing w:line="360" w:lineRule="exact"/>
        <w:ind w:firstLine="480" w:firstLineChars="200"/>
        <w:rPr>
          <w:rFonts w:ascii="仿宋_GB2312" w:hAnsi="宋体" w:eastAsia="仿宋_GB2312"/>
          <w:color w:val="FF0000"/>
          <w:sz w:val="24"/>
        </w:rPr>
      </w:pPr>
      <w:r>
        <w:rPr>
          <w:rFonts w:ascii="仿宋_GB2312" w:hAnsi="宋体" w:eastAsia="仿宋_GB2312"/>
          <w:color w:val="FF0000"/>
          <w:sz w:val="24"/>
        </w:rPr>
        <w:t>48.</w:t>
      </w:r>
      <w:r>
        <w:rPr>
          <w:rFonts w:hint="eastAsia" w:ascii="仿宋_GB2312" w:hAnsi="宋体" w:eastAsia="仿宋_GB2312"/>
          <w:color w:val="FF0000"/>
          <w:sz w:val="24"/>
        </w:rPr>
        <w:t>对评标委员会成员的纪律要求</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pacing w:line="360" w:lineRule="exact"/>
        <w:ind w:firstLine="480" w:firstLineChars="200"/>
        <w:rPr>
          <w:rFonts w:ascii="仿宋_GB2312" w:hAnsi="宋体" w:eastAsia="仿宋_GB2312"/>
          <w:color w:val="FF0000"/>
          <w:sz w:val="24"/>
        </w:rPr>
      </w:pPr>
      <w:r>
        <w:rPr>
          <w:rFonts w:ascii="仿宋_GB2312" w:hAnsi="宋体" w:eastAsia="仿宋_GB2312"/>
          <w:color w:val="FF0000"/>
          <w:sz w:val="24"/>
        </w:rPr>
        <w:t>49.</w:t>
      </w:r>
      <w:r>
        <w:rPr>
          <w:rFonts w:hint="eastAsia" w:ascii="仿宋_GB2312" w:hAnsi="宋体" w:eastAsia="仿宋_GB2312"/>
          <w:color w:val="FF0000"/>
          <w:sz w:val="24"/>
        </w:rPr>
        <w:t>对与评标活动有关的工作人员的纪律要求</w:t>
      </w:r>
    </w:p>
    <w:p>
      <w:pPr>
        <w:spacing w:line="360" w:lineRule="exact"/>
        <w:ind w:firstLine="480" w:firstLineChars="200"/>
        <w:rPr>
          <w:rFonts w:ascii="仿宋_GB2312" w:hAnsi="宋体" w:eastAsia="仿宋_GB2312"/>
          <w:color w:val="FF0000"/>
          <w:sz w:val="24"/>
        </w:rPr>
      </w:pPr>
      <w:r>
        <w:rPr>
          <w:rFonts w:hint="eastAsia" w:ascii="仿宋_GB2312" w:hAnsi="宋体" w:eastAsia="仿宋_GB2312"/>
          <w:color w:val="FF0000"/>
          <w:sz w:val="24"/>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spacing w:line="360" w:lineRule="exact"/>
        <w:ind w:firstLine="480" w:firstLineChars="200"/>
        <w:rPr>
          <w:rFonts w:ascii="仿宋_GB2312" w:hAnsi="宋体" w:eastAsia="仿宋_GB2312"/>
          <w:sz w:val="24"/>
        </w:rPr>
      </w:pPr>
    </w:p>
    <w:p>
      <w:pPr>
        <w:spacing w:line="360" w:lineRule="exact"/>
        <w:ind w:firstLine="480" w:firstLineChars="200"/>
        <w:rPr>
          <w:rFonts w:ascii="仿宋_GB2312" w:hAnsi="宋体" w:eastAsia="仿宋_GB2312"/>
          <w:sz w:val="24"/>
        </w:rPr>
      </w:pPr>
    </w:p>
    <w:p>
      <w:pPr>
        <w:pStyle w:val="2"/>
        <w:rPr>
          <w:rFonts w:ascii="仿宋_GB2312" w:hAnsi="宋体" w:eastAsia="仿宋_GB2312"/>
          <w:b/>
          <w:sz w:val="36"/>
          <w:szCs w:val="36"/>
        </w:rPr>
        <w:sectPr>
          <w:pgSz w:w="11907" w:h="16840"/>
          <w:pgMar w:top="1077" w:right="1134" w:bottom="1077" w:left="1134" w:header="680" w:footer="907" w:gutter="0"/>
          <w:cols w:space="720" w:num="1"/>
          <w:docGrid w:linePitch="271" w:charSpace="0"/>
        </w:sectPr>
      </w:pPr>
      <w:bookmarkStart w:id="19" w:name="_Toc200336338"/>
      <w:bookmarkStart w:id="20" w:name="_Toc208106837"/>
    </w:p>
    <w:bookmarkEnd w:id="19"/>
    <w:bookmarkEnd w:id="20"/>
    <w:p>
      <w:pPr>
        <w:pStyle w:val="2"/>
        <w:spacing w:before="240" w:after="240" w:line="380" w:lineRule="atLeast"/>
        <w:rPr>
          <w:sz w:val="56"/>
          <w:szCs w:val="56"/>
        </w:rPr>
      </w:pPr>
      <w:permStart w:id="92" w:edGrp="everyone"/>
      <w:bookmarkStart w:id="21" w:name="_Toc234832964"/>
      <w:bookmarkStart w:id="22" w:name="_Toc9352752"/>
      <w:bookmarkStart w:id="23" w:name="_Toc47451001"/>
      <w:bookmarkStart w:id="24" w:name="_Toc208106838"/>
      <w:r>
        <w:rPr>
          <w:sz w:val="56"/>
          <w:szCs w:val="56"/>
        </w:rPr>
        <w:t>第</w:t>
      </w:r>
      <w:r>
        <w:rPr>
          <w:rFonts w:hint="eastAsia"/>
          <w:sz w:val="56"/>
          <w:szCs w:val="56"/>
        </w:rPr>
        <w:t>二</w:t>
      </w:r>
      <w:r>
        <w:rPr>
          <w:sz w:val="56"/>
          <w:szCs w:val="56"/>
        </w:rPr>
        <w:t>章  合同条款及格式</w:t>
      </w:r>
      <w:bookmarkEnd w:id="21"/>
      <w:bookmarkEnd w:id="22"/>
      <w:bookmarkEnd w:id="23"/>
    </w:p>
    <w:p/>
    <w:p/>
    <w:p/>
    <w:p/>
    <w:p/>
    <w:p/>
    <w:p/>
    <w:p/>
    <w:p/>
    <w:p/>
    <w:p/>
    <w:p/>
    <w:p/>
    <w:p/>
    <w:p/>
    <w:p/>
    <w:p/>
    <w:p/>
    <w:p/>
    <w:p/>
    <w:p/>
    <w:p/>
    <w:p/>
    <w:p/>
    <w:p/>
    <w:p/>
    <w:p/>
    <w:p/>
    <w:p/>
    <w:p/>
    <w:p/>
    <w:p/>
    <w:p/>
    <w:p/>
    <w:p/>
    <w:p/>
    <w:p/>
    <w:p/>
    <w:p/>
    <w:p/>
    <w:p/>
    <w:p/>
    <w:p/>
    <w:p/>
    <w:p/>
    <w:p/>
    <w:p/>
    <w:p/>
    <w:p/>
    <w:p/>
    <w:p/>
    <w:p>
      <w:pPr>
        <w:jc w:val="center"/>
        <w:rPr>
          <w:rFonts w:asciiTheme="minorEastAsia" w:hAnsiTheme="minorEastAsia" w:eastAsiaTheme="minorEastAsia"/>
          <w:b/>
          <w:sz w:val="44"/>
          <w:szCs w:val="44"/>
        </w:rPr>
      </w:pPr>
      <w:bookmarkStart w:id="25" w:name="_Toc234832965"/>
      <w:bookmarkStart w:id="26" w:name="_Toc9352753"/>
      <w:r>
        <w:rPr>
          <w:rFonts w:asciiTheme="minorEastAsia" w:hAnsiTheme="minorEastAsia" w:eastAsiaTheme="minorEastAsia"/>
          <w:b/>
          <w:sz w:val="44"/>
          <w:szCs w:val="44"/>
        </w:rPr>
        <w:t>第一节  通用合同条款</w:t>
      </w:r>
      <w:bookmarkEnd w:id="25"/>
      <w:r>
        <w:rPr>
          <w:rStyle w:val="59"/>
          <w:rFonts w:asciiTheme="minorEastAsia" w:hAnsiTheme="minorEastAsia" w:eastAsiaTheme="minorEastAsia"/>
          <w:b/>
          <w:sz w:val="44"/>
          <w:szCs w:val="44"/>
        </w:rPr>
        <w:footnoteReference w:id="0"/>
      </w:r>
      <w:bookmarkEnd w:id="26"/>
    </w:p>
    <w:p/>
    <w:p/>
    <w:p/>
    <w:p/>
    <w:p/>
    <w:p/>
    <w:p/>
    <w:p/>
    <w:p/>
    <w:p/>
    <w:p/>
    <w:p/>
    <w:p/>
    <w:p/>
    <w:p/>
    <w:p/>
    <w:p/>
    <w:p/>
    <w:p/>
    <w:p/>
    <w:p/>
    <w:p/>
    <w:p/>
    <w:p/>
    <w:p/>
    <w:p/>
    <w:p/>
    <w:p/>
    <w:p/>
    <w:p/>
    <w:p/>
    <w:p/>
    <w:p/>
    <w:p/>
    <w:p/>
    <w:p/>
    <w:p/>
    <w:p/>
    <w:p/>
    <w:p/>
    <w:p/>
    <w:p/>
    <w:p/>
    <w:p/>
    <w:p/>
    <w:p/>
    <w:p/>
    <w:p/>
    <w:p/>
    <w:p/>
    <w:p/>
    <w:p/>
    <w:p/>
    <w:p/>
    <w:p>
      <w:pPr>
        <w:jc w:val="center"/>
        <w:rPr>
          <w:b/>
          <w:sz w:val="36"/>
          <w:szCs w:val="36"/>
        </w:rPr>
      </w:pPr>
      <w:bookmarkStart w:id="27" w:name="_Toc234832966"/>
      <w:bookmarkStart w:id="28" w:name="_Toc9352754"/>
      <w:r>
        <w:rPr>
          <w:sz w:val="36"/>
          <w:szCs w:val="36"/>
        </w:rPr>
        <w:t>通用合同条款</w:t>
      </w:r>
      <w:bookmarkEnd w:id="27"/>
      <w:bookmarkEnd w:id="28"/>
    </w:p>
    <w:p>
      <w:pPr>
        <w:rPr>
          <w:rFonts w:asciiTheme="minorEastAsia" w:hAnsiTheme="minorEastAsia" w:eastAsiaTheme="minorEastAsia"/>
          <w:b/>
          <w:sz w:val="24"/>
        </w:rPr>
      </w:pPr>
      <w:bookmarkStart w:id="29" w:name="_Toc9352755"/>
      <w:bookmarkStart w:id="30" w:name="_Toc234832967"/>
      <w:r>
        <w:rPr>
          <w:rFonts w:asciiTheme="minorEastAsia" w:hAnsiTheme="minorEastAsia" w:eastAsiaTheme="minorEastAsia"/>
          <w:b/>
          <w:sz w:val="24"/>
        </w:rPr>
        <w:t>1. 一般约定</w:t>
      </w:r>
      <w:bookmarkEnd w:id="29"/>
      <w:bookmarkEnd w:id="30"/>
      <w:r>
        <w:rPr>
          <w:rFonts w:asciiTheme="minorEastAsia" w:hAnsiTheme="minorEastAsia" w:eastAsiaTheme="minorEastAsia"/>
          <w:b/>
          <w:sz w:val="24"/>
        </w:rPr>
        <w:tab/>
      </w:r>
    </w:p>
    <w:p>
      <w:pPr>
        <w:rPr>
          <w:rFonts w:asciiTheme="minorEastAsia" w:hAnsiTheme="minorEastAsia" w:eastAsiaTheme="minorEastAsia"/>
          <w:b/>
          <w:sz w:val="24"/>
        </w:rPr>
      </w:pPr>
      <w:bookmarkStart w:id="31" w:name="_Toc234832968"/>
      <w:bookmarkStart w:id="32" w:name="_Toc9352756"/>
      <w:r>
        <w:rPr>
          <w:rFonts w:asciiTheme="minorEastAsia" w:hAnsiTheme="minorEastAsia" w:eastAsiaTheme="minorEastAsia"/>
          <w:sz w:val="24"/>
        </w:rPr>
        <w:t>1.1</w:t>
      </w:r>
      <w:r>
        <w:rPr>
          <w:rFonts w:asciiTheme="minorEastAsia" w:hAnsiTheme="minorEastAsia" w:eastAsiaTheme="minorEastAsia"/>
          <w:sz w:val="24"/>
        </w:rPr>
        <w:tab/>
      </w:r>
      <w:r>
        <w:rPr>
          <w:rFonts w:asciiTheme="minorEastAsia" w:hAnsiTheme="minorEastAsia" w:eastAsiaTheme="minorEastAsia"/>
          <w:sz w:val="24"/>
        </w:rPr>
        <w:t>词语定义</w:t>
      </w:r>
      <w:bookmarkEnd w:id="31"/>
      <w:bookmarkEnd w:id="32"/>
    </w:p>
    <w:p>
      <w:pPr>
        <w:spacing w:line="400" w:lineRule="atLeast"/>
        <w:rPr>
          <w:rFonts w:asciiTheme="minorEastAsia" w:hAnsiTheme="minorEastAsia" w:eastAsiaTheme="minorEastAsia"/>
          <w:sz w:val="24"/>
        </w:rPr>
      </w:pPr>
      <w:r>
        <w:rPr>
          <w:rFonts w:asciiTheme="minorEastAsia" w:hAnsiTheme="minorEastAsia" w:eastAsiaTheme="minorEastAsia"/>
          <w:sz w:val="24"/>
        </w:rPr>
        <w:t>　　通用合同条款、专用合同条款中的下列词语应具有本款所赋予的含义。</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1.1.1 合同</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1.1.1.1 合同文件（或称合同）：指合同协议书、中标通知书、投标函及投标函附录、专用合同条款、通用合同条款、技术标准和要求、图纸、已标价工程量清单，以及其他合同文件。</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1.1.1.2 合同协议书：指第1.5款所指的合同协议书。</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1.1.1.3 中标通知书：指发包人通知承包人中标的函件。</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1.1.1.4 投标函：指构成合同文件组成部分的由承包人填写并签署的投标函。</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1.1.1.5 投标函附录：指附在投标函后构成合同文件的投标函附录。</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1.1.1.6 技术标准和要求：指构成合同文件组成部分的名为技术标准和要求的文件，包括合同双方当事人约定对其所作的修改或补充。</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1.1.1.7 图纸：指包含在合同中的工程图纸，以及由发包人按合同约定提供的任何补充和修改的图纸，包括配套的说明。</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1.1.1.8 已标价工程量清单：指构成合同文件组成部分的由承包人按照规定的格式和要求填写并标明价格的工程量清单。</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1.1.1.9 其他合同文件：指经合同双方当事人确认构成合同文件的其他文件。</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1.1.2 合同当事人和人员</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1.1.2.1 合同当事人：指发包人和（或）承包人。</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1.1.2.2 发包人：指专用合同条款中指明并与承包人在合同协议书中签字的当事人。</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1.1.2.3承包人：指与发包人签订合同协议书的当事人。</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1.1.2.4承包人项目经理：指承包人派驻施工场地的全权负责人。</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1.1.2.5分包人：指从承包人处分包合同中某一部分工程，并与其签订分包合同的分包人。</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1.1.2.6监理人：指在专用合同条款中指明的，受发包人委托对合同履行实施管理的法人或其他组织。</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1.1.2.7总监理工程师（总监）：指由监理人委派常驻施工场地对合同履行实施管理的全权负责人。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1.1.3 工程和设备</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1.1.3.1 工程：指永久工程和（或）临时工程。</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1.1.3.2 永久工程：指按合同约定建造并移交给发包人的工程，包括工程设备。</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1.1.3.3 临时工程：指为完成合同约定的永久工程所修建的各类临时性工程，不包括施工设备。</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1.1.3.4 单位工程：指专用合同条款中指明特定范围的永久工程。</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1.1.3.5 工程设备：指构成或计划构成永久工程一部分的机电设备、金属结构设备、仪器装置及其他类似的设备和装置。</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1.1.3.6 施工设备：指为完成合同约定的各项工作所需的设备、器具和其他物品，不包括临时工程和材料。</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1.1.3.7临时设施：指为完成合同约定的各项工作所服务的临时性生产和生活设施。</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1.1.3.8 承包人设备：指承包人自带的施工设备。</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1.1.3.9 施工场地（或称工地、现场）：指用于合同工程施工的场所，以及在合同中指定作为施工场地组成部分的其他场所，包括永久占地和临时占地。</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1.1.3.10 永久占地：指专用合同条款中指明为实施合同工程需永久占用的土地。</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1.1.3.11 临时占地：指专用合同条款中指明为实施合同工程需临时占用的土地。</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1.1.4 日期</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1.1.4.1 开工通知：指监理人按第11.1款通知承包人开工的函件。</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1.1.4.2 开工日期：指监理人按第11.1款发出的开工通知中写明的开工日期。</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1.1.4.3 工期：指承包人在投标函中承诺的完成合同工程所需的期限，包括按第11.3款、第11.4款和第11.6款约定所作的变更。</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1.1.4.4 竣工日期：指第1.1.4.3目约定工期届满时的日期。实际竣工日期以工程接收证书中写明的日期为准。</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1.1.4.5 缺陷责任期：指履行第19.2款约定的缺陷责任的期限，具体期限由专用合同条款约定，包括根据第19.3款约定所作的延长。</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1.1.4.6 基准日期：指投标截止时间前28天的日期。</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1.1.4.7 天：除特别指明外，指日历天。合同中按天计算时间的，开始当天不计入，从次日开始计算。期限最后一天的截止时间为当天24:00。</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1.1.5 合同价格和费用</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1.1.5.1 签约合同价：指签</w:t>
      </w:r>
      <w:r>
        <w:rPr>
          <w:rFonts w:hint="eastAsia" w:asciiTheme="minorEastAsia" w:hAnsiTheme="minorEastAsia" w:eastAsiaTheme="minorEastAsia"/>
          <w:sz w:val="24"/>
        </w:rPr>
        <w:t>订</w:t>
      </w:r>
      <w:r>
        <w:rPr>
          <w:rFonts w:asciiTheme="minorEastAsia" w:hAnsiTheme="minorEastAsia" w:eastAsiaTheme="minorEastAsia"/>
          <w:sz w:val="24"/>
        </w:rPr>
        <w:t>合同时合同协议书中写明的，包括了暂列金额、暂估价的合同总金额。</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1.1.5.2 合同价格：指承包人按合同约定完成了包括缺陷责任期内的全部承包工作后，发包人应付给承包人的金额，包括在履行合同过程中按合同约定进行的变更和调整。</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1.1.5.3 费用：指为履行合同所发生的或将要发生的所有合理开支，包括管理费和应分摊的其他费用，但不包括利润。</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1.1.5.4 暂列金额：指已标价工程量清单中所列的暂列金额，用于在签订协议书时尚未确定或不可预见变更的施工及其所需材料、工程设备、服务等的金额，包括以计日工方式支付的金额。</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1.1.5.5暂估价：指发包人在工程量清单中给定的用于支付必然发生但暂时不能确定价格的材料、工程设备以及专业工程的金额。</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1.1.5.6 计日工：指对零星工作采取的一种计价方式，按合同中的计日工子目及其单价计价付款。</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1.1.5.7 质量保证金（或称</w:t>
      </w:r>
      <w:r>
        <w:rPr>
          <w:rFonts w:hint="eastAsia" w:asciiTheme="minorEastAsia" w:hAnsiTheme="minorEastAsia" w:eastAsiaTheme="minorEastAsia"/>
          <w:sz w:val="24"/>
        </w:rPr>
        <w:t>保留</w:t>
      </w:r>
      <w:r>
        <w:rPr>
          <w:rFonts w:asciiTheme="minorEastAsia" w:hAnsiTheme="minorEastAsia" w:eastAsiaTheme="minorEastAsia"/>
          <w:sz w:val="24"/>
        </w:rPr>
        <w:t>金）：指按第17.4.1项约定用于保证在缺陷责任期内履行缺陷修复义务的金额。</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1.1.6 其他</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1.1.6.1 书面形式：指合同文件、信函、电报、传真等可以有形地表现所载内容的形式。</w:t>
      </w:r>
    </w:p>
    <w:p>
      <w:pPr>
        <w:spacing w:line="400" w:lineRule="atLeast"/>
        <w:jc w:val="left"/>
        <w:rPr>
          <w:rFonts w:asciiTheme="minorEastAsia" w:hAnsiTheme="minorEastAsia" w:eastAsiaTheme="minorEastAsia"/>
          <w:sz w:val="24"/>
        </w:rPr>
      </w:pPr>
      <w:bookmarkStart w:id="33" w:name="_Toc234832969"/>
      <w:bookmarkStart w:id="34" w:name="_Toc9352757"/>
      <w:r>
        <w:rPr>
          <w:rFonts w:asciiTheme="minorEastAsia" w:hAnsiTheme="minorEastAsia" w:eastAsiaTheme="minorEastAsia"/>
          <w:sz w:val="24"/>
        </w:rPr>
        <w:t>1.2 语言文字</w:t>
      </w:r>
      <w:bookmarkEnd w:id="33"/>
      <w:bookmarkEnd w:id="34"/>
    </w:p>
    <w:p>
      <w:pPr>
        <w:spacing w:line="400" w:lineRule="atLeast"/>
        <w:jc w:val="left"/>
        <w:rPr>
          <w:rFonts w:asciiTheme="minorEastAsia" w:hAnsiTheme="minorEastAsia" w:eastAsiaTheme="minorEastAsia"/>
          <w:sz w:val="24"/>
        </w:rPr>
      </w:pPr>
      <w:r>
        <w:rPr>
          <w:rFonts w:asciiTheme="minorEastAsia" w:hAnsiTheme="minorEastAsia" w:eastAsiaTheme="minorEastAsia"/>
          <w:sz w:val="24"/>
        </w:rPr>
        <w:t>　　除专用术语外，合同使用的语言文字为中文。必要时专用术语应附有中文注释。</w:t>
      </w:r>
    </w:p>
    <w:p>
      <w:pPr>
        <w:spacing w:line="400" w:lineRule="atLeast"/>
        <w:jc w:val="left"/>
        <w:rPr>
          <w:rFonts w:asciiTheme="minorEastAsia" w:hAnsiTheme="minorEastAsia" w:eastAsiaTheme="minorEastAsia"/>
          <w:sz w:val="24"/>
        </w:rPr>
      </w:pPr>
      <w:bookmarkStart w:id="35" w:name="_Toc9352758"/>
      <w:bookmarkStart w:id="36" w:name="_Toc234832970"/>
      <w:r>
        <w:rPr>
          <w:rFonts w:asciiTheme="minorEastAsia" w:hAnsiTheme="minorEastAsia" w:eastAsiaTheme="minorEastAsia"/>
          <w:sz w:val="24"/>
        </w:rPr>
        <w:t>1.3 法律</w:t>
      </w:r>
      <w:bookmarkEnd w:id="35"/>
      <w:bookmarkEnd w:id="36"/>
    </w:p>
    <w:p>
      <w:pPr>
        <w:spacing w:line="400" w:lineRule="atLeast"/>
        <w:jc w:val="left"/>
        <w:rPr>
          <w:rFonts w:asciiTheme="minorEastAsia" w:hAnsiTheme="minorEastAsia" w:eastAsiaTheme="minorEastAsia"/>
          <w:sz w:val="24"/>
        </w:rPr>
      </w:pPr>
      <w:r>
        <w:rPr>
          <w:rFonts w:asciiTheme="minorEastAsia" w:hAnsiTheme="minorEastAsia" w:eastAsiaTheme="minorEastAsia"/>
          <w:sz w:val="24"/>
        </w:rPr>
        <w:t>　　适用于合同的法律包括中华人民共和国法律、行政法规、部门规章，以及工程所在地的地方法规、自治条例、单行条例和地方政府规章。</w:t>
      </w:r>
    </w:p>
    <w:p>
      <w:pPr>
        <w:spacing w:line="400" w:lineRule="atLeast"/>
        <w:jc w:val="left"/>
        <w:rPr>
          <w:rFonts w:asciiTheme="minorEastAsia" w:hAnsiTheme="minorEastAsia" w:eastAsiaTheme="minorEastAsia"/>
          <w:sz w:val="24"/>
        </w:rPr>
      </w:pPr>
      <w:bookmarkStart w:id="37" w:name="_Toc234832971"/>
      <w:bookmarkStart w:id="38" w:name="_Toc9352759"/>
      <w:r>
        <w:rPr>
          <w:rFonts w:asciiTheme="minorEastAsia" w:hAnsiTheme="minorEastAsia" w:eastAsiaTheme="minorEastAsia"/>
          <w:sz w:val="24"/>
        </w:rPr>
        <w:t>1.4 合同文件的优先顺序</w:t>
      </w:r>
      <w:bookmarkEnd w:id="37"/>
      <w:bookmarkEnd w:id="38"/>
    </w:p>
    <w:p>
      <w:pPr>
        <w:spacing w:line="400" w:lineRule="atLeast"/>
        <w:rPr>
          <w:rFonts w:asciiTheme="minorEastAsia" w:hAnsiTheme="minorEastAsia" w:eastAsiaTheme="minorEastAsia"/>
          <w:sz w:val="24"/>
        </w:rPr>
      </w:pPr>
      <w:r>
        <w:rPr>
          <w:rFonts w:asciiTheme="minorEastAsia" w:hAnsiTheme="minorEastAsia" w:eastAsiaTheme="minorEastAsia"/>
          <w:sz w:val="24"/>
        </w:rPr>
        <w:t>　　组成合同的各项文件应互相解释，互为说明。除专用合同条款另有约定外，解释合同文件的优先顺序如下：</w:t>
      </w:r>
    </w:p>
    <w:p>
      <w:pPr>
        <w:spacing w:line="400" w:lineRule="atLeast"/>
        <w:rPr>
          <w:rFonts w:asciiTheme="minorEastAsia" w:hAnsiTheme="minorEastAsia" w:eastAsiaTheme="minorEastAsia"/>
          <w:sz w:val="24"/>
        </w:rPr>
      </w:pPr>
      <w:r>
        <w:rPr>
          <w:rFonts w:asciiTheme="minorEastAsia" w:hAnsiTheme="minorEastAsia" w:eastAsiaTheme="minorEastAsia"/>
          <w:sz w:val="24"/>
        </w:rPr>
        <w:t>　　（1）合同协议书；</w:t>
      </w:r>
    </w:p>
    <w:p>
      <w:pPr>
        <w:spacing w:line="400" w:lineRule="atLeast"/>
        <w:rPr>
          <w:rFonts w:asciiTheme="minorEastAsia" w:hAnsiTheme="minorEastAsia" w:eastAsiaTheme="minorEastAsia"/>
          <w:sz w:val="24"/>
        </w:rPr>
      </w:pPr>
      <w:r>
        <w:rPr>
          <w:rFonts w:asciiTheme="minorEastAsia" w:hAnsiTheme="minorEastAsia" w:eastAsiaTheme="minorEastAsia"/>
          <w:sz w:val="24"/>
        </w:rPr>
        <w:t>　　（2）中标通知书；</w:t>
      </w:r>
    </w:p>
    <w:p>
      <w:pPr>
        <w:spacing w:line="400" w:lineRule="atLeast"/>
        <w:rPr>
          <w:rFonts w:asciiTheme="minorEastAsia" w:hAnsiTheme="minorEastAsia" w:eastAsiaTheme="minorEastAsia"/>
          <w:sz w:val="24"/>
        </w:rPr>
      </w:pPr>
      <w:r>
        <w:rPr>
          <w:rFonts w:asciiTheme="minorEastAsia" w:hAnsiTheme="minorEastAsia" w:eastAsiaTheme="minorEastAsia"/>
          <w:sz w:val="24"/>
        </w:rPr>
        <w:t>　　（3）投标函及投标函附录；</w:t>
      </w:r>
    </w:p>
    <w:p>
      <w:pPr>
        <w:spacing w:line="400" w:lineRule="atLeast"/>
        <w:rPr>
          <w:rFonts w:asciiTheme="minorEastAsia" w:hAnsiTheme="minorEastAsia" w:eastAsiaTheme="minorEastAsia"/>
          <w:sz w:val="24"/>
        </w:rPr>
      </w:pPr>
      <w:r>
        <w:rPr>
          <w:rFonts w:asciiTheme="minorEastAsia" w:hAnsiTheme="minorEastAsia" w:eastAsiaTheme="minorEastAsia"/>
          <w:sz w:val="24"/>
        </w:rPr>
        <w:t>　　（4）专用合同条款；</w:t>
      </w:r>
    </w:p>
    <w:p>
      <w:pPr>
        <w:spacing w:line="400" w:lineRule="atLeast"/>
        <w:rPr>
          <w:rFonts w:asciiTheme="minorEastAsia" w:hAnsiTheme="minorEastAsia" w:eastAsiaTheme="minorEastAsia"/>
          <w:sz w:val="24"/>
        </w:rPr>
      </w:pPr>
      <w:r>
        <w:rPr>
          <w:rFonts w:asciiTheme="minorEastAsia" w:hAnsiTheme="minorEastAsia" w:eastAsiaTheme="minorEastAsia"/>
          <w:sz w:val="24"/>
        </w:rPr>
        <w:t>　　（5）通用合同条款；</w:t>
      </w:r>
    </w:p>
    <w:p>
      <w:pPr>
        <w:spacing w:line="400" w:lineRule="atLeast"/>
        <w:rPr>
          <w:rFonts w:asciiTheme="minorEastAsia" w:hAnsiTheme="minorEastAsia" w:eastAsiaTheme="minorEastAsia"/>
          <w:sz w:val="24"/>
        </w:rPr>
      </w:pPr>
      <w:r>
        <w:rPr>
          <w:rFonts w:asciiTheme="minorEastAsia" w:hAnsiTheme="minorEastAsia" w:eastAsiaTheme="minorEastAsia"/>
          <w:sz w:val="24"/>
        </w:rPr>
        <w:t>　　（6）技术标准和要求；</w:t>
      </w:r>
    </w:p>
    <w:p>
      <w:pPr>
        <w:spacing w:line="400" w:lineRule="atLeast"/>
        <w:rPr>
          <w:rFonts w:asciiTheme="minorEastAsia" w:hAnsiTheme="minorEastAsia" w:eastAsiaTheme="minorEastAsia"/>
          <w:sz w:val="24"/>
        </w:rPr>
      </w:pPr>
      <w:r>
        <w:rPr>
          <w:rFonts w:asciiTheme="minorEastAsia" w:hAnsiTheme="minorEastAsia" w:eastAsiaTheme="minorEastAsia"/>
          <w:sz w:val="24"/>
        </w:rPr>
        <w:t>　　（7）图纸；</w:t>
      </w:r>
    </w:p>
    <w:p>
      <w:pPr>
        <w:spacing w:line="400" w:lineRule="atLeast"/>
        <w:rPr>
          <w:rFonts w:asciiTheme="minorEastAsia" w:hAnsiTheme="minorEastAsia" w:eastAsiaTheme="minorEastAsia"/>
          <w:sz w:val="24"/>
        </w:rPr>
      </w:pPr>
      <w:r>
        <w:rPr>
          <w:rFonts w:asciiTheme="minorEastAsia" w:hAnsiTheme="minorEastAsia" w:eastAsiaTheme="minorEastAsia"/>
          <w:sz w:val="24"/>
        </w:rPr>
        <w:t>　　（8）已标价工程量清单；</w:t>
      </w:r>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（9）其他合同文件。     </w:t>
      </w:r>
    </w:p>
    <w:p>
      <w:pPr>
        <w:rPr>
          <w:rFonts w:asciiTheme="minorEastAsia" w:hAnsiTheme="minorEastAsia" w:eastAsiaTheme="minorEastAsia"/>
          <w:b/>
          <w:sz w:val="24"/>
        </w:rPr>
      </w:pPr>
      <w:bookmarkStart w:id="39" w:name="_Toc9352760"/>
      <w:bookmarkStart w:id="40" w:name="_Toc234832972"/>
      <w:r>
        <w:rPr>
          <w:rFonts w:asciiTheme="minorEastAsia" w:hAnsiTheme="minorEastAsia" w:eastAsiaTheme="minorEastAsia"/>
          <w:sz w:val="24"/>
        </w:rPr>
        <w:t>1.5 合同协议书</w:t>
      </w:r>
      <w:bookmarkEnd w:id="39"/>
      <w:bookmarkEnd w:id="40"/>
    </w:p>
    <w:p>
      <w:pPr>
        <w:spacing w:line="400" w:lineRule="atLeast"/>
        <w:rPr>
          <w:rFonts w:asciiTheme="minorEastAsia" w:hAnsiTheme="minorEastAsia" w:eastAsiaTheme="minorEastAsia"/>
          <w:sz w:val="24"/>
        </w:rPr>
      </w:pPr>
      <w:r>
        <w:rPr>
          <w:rFonts w:asciiTheme="minorEastAsia" w:hAnsiTheme="minorEastAsia" w:eastAsiaTheme="minorEastAsia"/>
          <w:sz w:val="24"/>
        </w:rPr>
        <w:t>　　承包人按中标通知书规定的时间与发包人签订合同协议书。除法律另有规定或合同另有约定外，发包人和承包人的法定代表人或其委托代理人在合同协议书上签字并盖单位章后，合同生效。</w:t>
      </w:r>
    </w:p>
    <w:p>
      <w:pPr>
        <w:rPr>
          <w:rFonts w:asciiTheme="minorEastAsia" w:hAnsiTheme="minorEastAsia" w:eastAsiaTheme="minorEastAsia"/>
          <w:b/>
          <w:sz w:val="24"/>
        </w:rPr>
      </w:pPr>
      <w:bookmarkStart w:id="41" w:name="_Toc9352761"/>
      <w:bookmarkStart w:id="42" w:name="_Toc234832973"/>
      <w:r>
        <w:rPr>
          <w:rFonts w:asciiTheme="minorEastAsia" w:hAnsiTheme="minorEastAsia" w:eastAsiaTheme="minorEastAsia"/>
          <w:sz w:val="24"/>
        </w:rPr>
        <w:t>1.6 图纸和承包人文件</w:t>
      </w:r>
      <w:bookmarkEnd w:id="41"/>
      <w:bookmarkEnd w:id="4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1.6.1 图纸的提供</w:t>
      </w:r>
    </w:p>
    <w:p>
      <w:pPr>
        <w:spacing w:line="400" w:lineRule="atLeast"/>
        <w:rPr>
          <w:rFonts w:asciiTheme="minorEastAsia" w:hAnsiTheme="minorEastAsia" w:eastAsiaTheme="minorEastAsia"/>
          <w:sz w:val="24"/>
        </w:rPr>
      </w:pPr>
      <w:r>
        <w:rPr>
          <w:rFonts w:asciiTheme="minorEastAsia" w:hAnsiTheme="minorEastAsia" w:eastAsiaTheme="minorEastAsia"/>
          <w:sz w:val="24"/>
        </w:rPr>
        <w:t>　　除专用合同条款另有约定外，图纸应在合理的期限内按照合同约定的数量提供给承包人。由于发包人未按时提供图纸造成工期延误的，按第11.3款的约定办理。</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1.6.2 承包人提供的文件</w:t>
      </w:r>
    </w:p>
    <w:p>
      <w:pPr>
        <w:spacing w:line="400" w:lineRule="atLeast"/>
        <w:rPr>
          <w:rFonts w:asciiTheme="minorEastAsia" w:hAnsiTheme="minorEastAsia" w:eastAsiaTheme="minorEastAsia"/>
          <w:sz w:val="24"/>
        </w:rPr>
      </w:pPr>
      <w:r>
        <w:rPr>
          <w:rFonts w:asciiTheme="minorEastAsia" w:hAnsiTheme="minorEastAsia" w:eastAsiaTheme="minorEastAsia"/>
          <w:sz w:val="24"/>
        </w:rPr>
        <w:t>　　按专用合同条款约定由承包人提供的文件，包括部分工程的大样图、加工图等，承包人应按约定的数量和期限报送监理人。监理人应在专用合同条款约定的期限内批复。</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1.6.3 图纸的修改</w:t>
      </w:r>
    </w:p>
    <w:p>
      <w:pPr>
        <w:spacing w:line="400" w:lineRule="atLeast"/>
        <w:rPr>
          <w:rFonts w:asciiTheme="minorEastAsia" w:hAnsiTheme="minorEastAsia" w:eastAsiaTheme="minorEastAsia"/>
          <w:sz w:val="24"/>
        </w:rPr>
      </w:pPr>
      <w:r>
        <w:rPr>
          <w:rFonts w:asciiTheme="minorEastAsia" w:hAnsiTheme="minorEastAsia" w:eastAsiaTheme="minorEastAsia"/>
          <w:sz w:val="24"/>
        </w:rPr>
        <w:t>　　图纸需要修改和补充的，应由监理人取得发包人同意后，在该工程或工程相应部位施工前的合理期限内签发图纸修改图给承包人，具体签发期限在专用合同条款中约定。承包人应按修改后的图纸施工。</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1.6.4 图纸的错误</w:t>
      </w:r>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承包人发现发包人提供的图纸存在明显错误或疏忽，应及时通知监理人。</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1.6.5 图纸和承包人文件的保管</w:t>
      </w:r>
    </w:p>
    <w:p>
      <w:pPr>
        <w:spacing w:line="400" w:lineRule="atLeast"/>
        <w:rPr>
          <w:rFonts w:asciiTheme="minorEastAsia" w:hAnsiTheme="minorEastAsia" w:eastAsiaTheme="minorEastAsia"/>
          <w:sz w:val="24"/>
        </w:rPr>
      </w:pPr>
      <w:r>
        <w:rPr>
          <w:rFonts w:asciiTheme="minorEastAsia" w:hAnsiTheme="minorEastAsia" w:eastAsiaTheme="minorEastAsia"/>
          <w:sz w:val="24"/>
        </w:rPr>
        <w:t>　　监理人和承包人均应在施工场地各保存一套完整的包含第1.6.1项、第1.6.2项、第1.6.3项约定内容的图纸和承包人文件。</w:t>
      </w:r>
    </w:p>
    <w:p>
      <w:pPr>
        <w:rPr>
          <w:rFonts w:asciiTheme="minorEastAsia" w:hAnsiTheme="minorEastAsia" w:eastAsiaTheme="minorEastAsia"/>
          <w:b/>
          <w:sz w:val="24"/>
        </w:rPr>
      </w:pPr>
      <w:bookmarkStart w:id="43" w:name="_Toc9352762"/>
      <w:bookmarkStart w:id="44" w:name="_Toc234832974"/>
      <w:r>
        <w:rPr>
          <w:rFonts w:asciiTheme="minorEastAsia" w:hAnsiTheme="minorEastAsia" w:eastAsiaTheme="minorEastAsia"/>
          <w:sz w:val="24"/>
        </w:rPr>
        <w:t>1.7 联络</w:t>
      </w:r>
      <w:bookmarkEnd w:id="43"/>
      <w:bookmarkEnd w:id="4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1.7.1 与合同有关的通知、批准、证明、证书、指示、要求、请求、同意、意见、确定和决定等，均应采用书面形式。</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1.7.2 第1.7.1项中的通知、批准、证明、证书、指示、要求、请求、同意、意见、确定和决定等来往函件，均应在合同约定的期限内送达指定地点和接收人，并办理签收手续。</w:t>
      </w:r>
    </w:p>
    <w:p>
      <w:pPr>
        <w:rPr>
          <w:rFonts w:asciiTheme="minorEastAsia" w:hAnsiTheme="minorEastAsia" w:eastAsiaTheme="minorEastAsia"/>
          <w:b/>
          <w:sz w:val="24"/>
        </w:rPr>
      </w:pPr>
      <w:bookmarkStart w:id="45" w:name="_Toc234832975"/>
      <w:bookmarkStart w:id="46" w:name="_Toc9352763"/>
      <w:r>
        <w:rPr>
          <w:rFonts w:asciiTheme="minorEastAsia" w:hAnsiTheme="minorEastAsia" w:eastAsiaTheme="minorEastAsia"/>
          <w:sz w:val="24"/>
        </w:rPr>
        <w:t>1.8 转让</w:t>
      </w:r>
      <w:bookmarkEnd w:id="45"/>
      <w:bookmarkEnd w:id="4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除合同另有约定外，未经对方当事人同意，一方当事人不得将合同权利全部或部分转让给第三人，也不得全部或部分转移合同义务。</w:t>
      </w:r>
    </w:p>
    <w:p>
      <w:pPr>
        <w:rPr>
          <w:rFonts w:asciiTheme="minorEastAsia" w:hAnsiTheme="minorEastAsia" w:eastAsiaTheme="minorEastAsia"/>
          <w:b/>
          <w:sz w:val="24"/>
        </w:rPr>
      </w:pPr>
      <w:bookmarkStart w:id="47" w:name="_Toc234832976"/>
      <w:bookmarkStart w:id="48" w:name="_Toc9352764"/>
      <w:r>
        <w:rPr>
          <w:rFonts w:asciiTheme="minorEastAsia" w:hAnsiTheme="minorEastAsia" w:eastAsiaTheme="minorEastAsia"/>
          <w:sz w:val="24"/>
        </w:rPr>
        <w:t>1.9 严禁贿赂</w:t>
      </w:r>
      <w:bookmarkEnd w:id="47"/>
      <w:bookmarkEnd w:id="48"/>
    </w:p>
    <w:p>
      <w:pPr>
        <w:spacing w:line="400" w:lineRule="atLeast"/>
        <w:rPr>
          <w:rFonts w:asciiTheme="minorEastAsia" w:hAnsiTheme="minorEastAsia" w:eastAsiaTheme="minorEastAsia"/>
          <w:sz w:val="24"/>
        </w:rPr>
      </w:pPr>
      <w:r>
        <w:rPr>
          <w:rFonts w:asciiTheme="minorEastAsia" w:hAnsiTheme="minorEastAsia" w:eastAsiaTheme="minorEastAsia"/>
          <w:sz w:val="24"/>
        </w:rPr>
        <w:t>　　合同双方当事人不得以贿赂或变相贿赂的方式，谋取不当利益或损害对方权益。因贿赂造成对方损失的，行为人应赔偿损失，并承担相应的法律责任。</w:t>
      </w:r>
    </w:p>
    <w:p>
      <w:pPr>
        <w:rPr>
          <w:rFonts w:asciiTheme="minorEastAsia" w:hAnsiTheme="minorEastAsia" w:eastAsiaTheme="minorEastAsia"/>
          <w:b/>
          <w:sz w:val="24"/>
        </w:rPr>
      </w:pPr>
      <w:bookmarkStart w:id="49" w:name="_Toc234832977"/>
      <w:bookmarkStart w:id="50" w:name="_Toc9352765"/>
      <w:r>
        <w:rPr>
          <w:rFonts w:asciiTheme="minorEastAsia" w:hAnsiTheme="minorEastAsia" w:eastAsiaTheme="minorEastAsia"/>
          <w:sz w:val="24"/>
        </w:rPr>
        <w:t>1.10 化石、文物</w:t>
      </w:r>
      <w:bookmarkEnd w:id="49"/>
      <w:bookmarkEnd w:id="5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spacing w:line="400" w:lineRule="atLeast"/>
        <w:rPr>
          <w:rFonts w:asciiTheme="minorEastAsia" w:hAnsiTheme="minorEastAsia" w:eastAsiaTheme="minorEastAsia"/>
          <w:sz w:val="24"/>
        </w:rPr>
      </w:pPr>
      <w:r>
        <w:rPr>
          <w:rFonts w:asciiTheme="minorEastAsia" w:hAnsiTheme="minorEastAsia" w:eastAsiaTheme="minorEastAsia"/>
          <w:sz w:val="24"/>
        </w:rPr>
        <w:t>　　1.10.2 承包人发现文物后不及时报告或隐瞒不报，致使文物丢失或损坏的，应赔偿损失，并承担相应的法律责任。</w:t>
      </w:r>
    </w:p>
    <w:p>
      <w:pPr>
        <w:rPr>
          <w:rFonts w:asciiTheme="minorEastAsia" w:hAnsiTheme="minorEastAsia" w:eastAsiaTheme="minorEastAsia"/>
          <w:b/>
          <w:sz w:val="24"/>
        </w:rPr>
      </w:pPr>
      <w:bookmarkStart w:id="51" w:name="_Toc234832978"/>
      <w:bookmarkStart w:id="52" w:name="_Toc9352766"/>
      <w:r>
        <w:rPr>
          <w:rFonts w:asciiTheme="minorEastAsia" w:hAnsiTheme="minorEastAsia" w:eastAsiaTheme="minorEastAsia"/>
          <w:sz w:val="24"/>
        </w:rPr>
        <w:t>1.11 专利技术</w:t>
      </w:r>
      <w:bookmarkEnd w:id="51"/>
      <w:bookmarkEnd w:id="52"/>
    </w:p>
    <w:p>
      <w:pPr>
        <w:spacing w:line="400" w:lineRule="atLeast"/>
        <w:rPr>
          <w:rFonts w:asciiTheme="minorEastAsia" w:hAnsiTheme="minorEastAsia" w:eastAsiaTheme="minorEastAsia"/>
          <w:sz w:val="24"/>
        </w:rPr>
      </w:pPr>
      <w:r>
        <w:rPr>
          <w:rFonts w:asciiTheme="minorEastAsia" w:hAnsiTheme="minorEastAsia" w:eastAsiaTheme="minorEastAsia"/>
          <w:sz w:val="24"/>
        </w:rPr>
        <w:t>　　1.11.1 承包人在使用任何材料、承包人设备、工程设备或采用施工工艺时，因侵犯专利权或其他知识产权所引起的责任，由承包人承担，但由于遵照发包人提供的设计或技术标准和要求引起的除外。</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1.11.2 承包人在投标文件中采用专利技术的，专利技术的使用费包含在投标报价内。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1.11.3 承包人的技术秘密和声明需要保密的资料和信息，发包人和监理人不得为合同以外的目的泄露给他人。</w:t>
      </w:r>
    </w:p>
    <w:p>
      <w:pPr>
        <w:rPr>
          <w:rFonts w:asciiTheme="minorEastAsia" w:hAnsiTheme="minorEastAsia" w:eastAsiaTheme="minorEastAsia"/>
          <w:sz w:val="24"/>
        </w:rPr>
      </w:pPr>
      <w:bookmarkStart w:id="53" w:name="_Toc234832979"/>
      <w:bookmarkStart w:id="54" w:name="_Toc9352767"/>
      <w:r>
        <w:rPr>
          <w:rFonts w:asciiTheme="minorEastAsia" w:hAnsiTheme="minorEastAsia" w:eastAsiaTheme="minorEastAsia"/>
          <w:sz w:val="24"/>
        </w:rPr>
        <w:t>1.12 图纸和文件的保密</w:t>
      </w:r>
      <w:bookmarkEnd w:id="53"/>
      <w:bookmarkEnd w:id="54"/>
    </w:p>
    <w:p>
      <w:pPr>
        <w:spacing w:line="400" w:lineRule="atLeast"/>
        <w:ind w:firstLine="480" w:firstLineChars="200"/>
        <w:rPr>
          <w:sz w:val="24"/>
        </w:rPr>
      </w:pPr>
      <w:r>
        <w:rPr>
          <w:sz w:val="24"/>
        </w:rPr>
        <w:t>1.12.1 发包人提供的图纸和文件，未经发包人同意，承包人不得为合同以外的目的泄露给他人或公开发表与引用。</w:t>
      </w:r>
    </w:p>
    <w:p>
      <w:pPr>
        <w:spacing w:line="400" w:lineRule="atLeast"/>
        <w:ind w:firstLine="480" w:firstLineChars="200"/>
        <w:rPr>
          <w:sz w:val="24"/>
        </w:rPr>
      </w:pPr>
      <w:r>
        <w:rPr>
          <w:sz w:val="24"/>
        </w:rPr>
        <w:t>1.12.2 承包人提供的文件，未经承包人同意，发包人和监理人不得为合同以外的目的泄露给他人或公开发表与引用。</w:t>
      </w:r>
    </w:p>
    <w:p>
      <w:pPr>
        <w:rPr>
          <w:rFonts w:asciiTheme="minorEastAsia" w:hAnsiTheme="minorEastAsia" w:eastAsiaTheme="minorEastAsia"/>
          <w:b/>
          <w:sz w:val="24"/>
        </w:rPr>
      </w:pPr>
      <w:bookmarkStart w:id="55" w:name="_Toc234832980"/>
      <w:bookmarkStart w:id="56" w:name="_Toc9352768"/>
      <w:r>
        <w:rPr>
          <w:rFonts w:asciiTheme="minorEastAsia" w:hAnsiTheme="minorEastAsia" w:eastAsiaTheme="minorEastAsia"/>
          <w:b/>
          <w:sz w:val="24"/>
        </w:rPr>
        <w:t>2. 发包人义务</w:t>
      </w:r>
      <w:bookmarkEnd w:id="55"/>
      <w:bookmarkEnd w:id="56"/>
    </w:p>
    <w:p>
      <w:pPr>
        <w:rPr>
          <w:rFonts w:asciiTheme="minorEastAsia" w:hAnsiTheme="minorEastAsia" w:eastAsiaTheme="minorEastAsia"/>
          <w:b/>
          <w:sz w:val="24"/>
        </w:rPr>
      </w:pPr>
      <w:bookmarkStart w:id="57" w:name="_Toc234832981"/>
      <w:bookmarkStart w:id="58" w:name="_Toc9352769"/>
      <w:r>
        <w:rPr>
          <w:rFonts w:asciiTheme="minorEastAsia" w:hAnsiTheme="minorEastAsia" w:eastAsiaTheme="minorEastAsia"/>
          <w:sz w:val="24"/>
        </w:rPr>
        <w:t>2.1 遵守法律</w:t>
      </w:r>
      <w:bookmarkEnd w:id="57"/>
      <w:bookmarkEnd w:id="58"/>
    </w:p>
    <w:p>
      <w:pPr>
        <w:spacing w:line="400" w:lineRule="atLeast"/>
        <w:rPr>
          <w:rFonts w:asciiTheme="minorEastAsia" w:hAnsiTheme="minorEastAsia" w:eastAsiaTheme="minorEastAsia"/>
          <w:sz w:val="24"/>
        </w:rPr>
      </w:pPr>
      <w:r>
        <w:rPr>
          <w:rFonts w:asciiTheme="minorEastAsia" w:hAnsiTheme="minorEastAsia" w:eastAsiaTheme="minorEastAsia"/>
          <w:sz w:val="24"/>
        </w:rPr>
        <w:t>　　发包人在履行合同过程中应遵守法律，并保证承包人免于承担因发包人违反法律而引起的任何责任。</w:t>
      </w:r>
    </w:p>
    <w:p>
      <w:pPr>
        <w:rPr>
          <w:rFonts w:asciiTheme="minorEastAsia" w:hAnsiTheme="minorEastAsia" w:eastAsiaTheme="minorEastAsia"/>
          <w:b/>
          <w:sz w:val="24"/>
        </w:rPr>
      </w:pPr>
      <w:bookmarkStart w:id="59" w:name="_Toc234832982"/>
      <w:bookmarkStart w:id="60" w:name="_Toc9352770"/>
      <w:r>
        <w:rPr>
          <w:rFonts w:asciiTheme="minorEastAsia" w:hAnsiTheme="minorEastAsia" w:eastAsiaTheme="minorEastAsia"/>
          <w:sz w:val="24"/>
        </w:rPr>
        <w:t>2.2 发出开工通知</w:t>
      </w:r>
      <w:bookmarkEnd w:id="59"/>
      <w:bookmarkEnd w:id="60"/>
    </w:p>
    <w:p>
      <w:pPr>
        <w:spacing w:line="400" w:lineRule="atLeast"/>
        <w:rPr>
          <w:rFonts w:asciiTheme="minorEastAsia" w:hAnsiTheme="minorEastAsia" w:eastAsiaTheme="minorEastAsia"/>
          <w:sz w:val="24"/>
        </w:rPr>
      </w:pPr>
      <w:r>
        <w:rPr>
          <w:rFonts w:asciiTheme="minorEastAsia" w:hAnsiTheme="minorEastAsia" w:eastAsiaTheme="minorEastAsia"/>
          <w:sz w:val="24"/>
        </w:rPr>
        <w:t>　　发包人应委托监理人按第11.1款的约定向承包人发出开工通知。</w:t>
      </w:r>
    </w:p>
    <w:p>
      <w:pPr>
        <w:rPr>
          <w:rFonts w:asciiTheme="minorEastAsia" w:hAnsiTheme="minorEastAsia" w:eastAsiaTheme="minorEastAsia"/>
          <w:b/>
          <w:sz w:val="24"/>
        </w:rPr>
      </w:pPr>
      <w:bookmarkStart w:id="61" w:name="_Toc234832983"/>
      <w:bookmarkStart w:id="62" w:name="_Toc9352771"/>
      <w:r>
        <w:rPr>
          <w:rFonts w:asciiTheme="minorEastAsia" w:hAnsiTheme="minorEastAsia" w:eastAsiaTheme="minorEastAsia"/>
          <w:sz w:val="24"/>
        </w:rPr>
        <w:t>2.3 提供施工场地</w:t>
      </w:r>
      <w:bookmarkEnd w:id="61"/>
      <w:bookmarkEnd w:id="62"/>
    </w:p>
    <w:p>
      <w:pPr>
        <w:spacing w:line="400" w:lineRule="atLeast"/>
        <w:rPr>
          <w:rFonts w:asciiTheme="minorEastAsia" w:hAnsiTheme="minorEastAsia" w:eastAsiaTheme="minorEastAsia"/>
          <w:sz w:val="24"/>
        </w:rPr>
      </w:pPr>
      <w:r>
        <w:rPr>
          <w:rFonts w:asciiTheme="minorEastAsia" w:hAnsiTheme="minorEastAsia" w:eastAsiaTheme="minorEastAsia"/>
          <w:sz w:val="24"/>
        </w:rPr>
        <w:t>　　发包人应按专用合同条款约定向承包人提供施工场地，以及施工场地内地下管线和地下设施等有关资料，并保证资料的真实、准确、完整。</w:t>
      </w:r>
    </w:p>
    <w:p>
      <w:pPr>
        <w:rPr>
          <w:rFonts w:asciiTheme="minorEastAsia" w:hAnsiTheme="minorEastAsia" w:eastAsiaTheme="minorEastAsia"/>
          <w:b/>
          <w:sz w:val="24"/>
        </w:rPr>
      </w:pPr>
      <w:bookmarkStart w:id="63" w:name="_Toc234832984"/>
      <w:bookmarkStart w:id="64" w:name="_Toc9352772"/>
      <w:r>
        <w:rPr>
          <w:rFonts w:asciiTheme="minorEastAsia" w:hAnsiTheme="minorEastAsia" w:eastAsiaTheme="minorEastAsia"/>
          <w:sz w:val="24"/>
        </w:rPr>
        <w:t>2.4 协助承包人办理证件和批件</w:t>
      </w:r>
      <w:bookmarkEnd w:id="63"/>
      <w:bookmarkEnd w:id="64"/>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发包人应协助承包人办理法律规定的有关施工证件和批件。</w:t>
      </w:r>
    </w:p>
    <w:p>
      <w:pPr>
        <w:rPr>
          <w:rFonts w:asciiTheme="minorEastAsia" w:hAnsiTheme="minorEastAsia" w:eastAsiaTheme="minorEastAsia"/>
          <w:b/>
          <w:sz w:val="24"/>
        </w:rPr>
      </w:pPr>
      <w:bookmarkStart w:id="65" w:name="_Toc234832985"/>
      <w:bookmarkStart w:id="66" w:name="_Toc9352773"/>
      <w:r>
        <w:rPr>
          <w:rFonts w:asciiTheme="minorEastAsia" w:hAnsiTheme="minorEastAsia" w:eastAsiaTheme="minorEastAsia"/>
          <w:sz w:val="24"/>
        </w:rPr>
        <w:t>2.5 组织设计交底</w:t>
      </w:r>
      <w:bookmarkEnd w:id="65"/>
      <w:bookmarkEnd w:id="66"/>
    </w:p>
    <w:p>
      <w:pPr>
        <w:spacing w:line="400" w:lineRule="atLeast"/>
        <w:rPr>
          <w:rFonts w:asciiTheme="minorEastAsia" w:hAnsiTheme="minorEastAsia" w:eastAsiaTheme="minorEastAsia"/>
          <w:sz w:val="24"/>
        </w:rPr>
      </w:pPr>
      <w:r>
        <w:rPr>
          <w:rFonts w:asciiTheme="minorEastAsia" w:hAnsiTheme="minorEastAsia" w:eastAsiaTheme="minorEastAsia"/>
          <w:sz w:val="24"/>
        </w:rPr>
        <w:t>　　发包人应根据合同进度计划，组织设计单位向承包人进行设计交底。</w:t>
      </w:r>
    </w:p>
    <w:p>
      <w:pPr>
        <w:rPr>
          <w:rFonts w:asciiTheme="minorEastAsia" w:hAnsiTheme="minorEastAsia" w:eastAsiaTheme="minorEastAsia"/>
          <w:b/>
          <w:sz w:val="24"/>
        </w:rPr>
      </w:pPr>
      <w:bookmarkStart w:id="67" w:name="_Toc234832986"/>
      <w:bookmarkStart w:id="68" w:name="_Toc9352774"/>
      <w:r>
        <w:rPr>
          <w:rFonts w:asciiTheme="minorEastAsia" w:hAnsiTheme="minorEastAsia" w:eastAsiaTheme="minorEastAsia"/>
          <w:sz w:val="24"/>
        </w:rPr>
        <w:t>2.6 支付合同价款</w:t>
      </w:r>
      <w:bookmarkEnd w:id="67"/>
      <w:bookmarkEnd w:id="6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发包人应按合同约定向承包人及时支付合同价款。</w:t>
      </w:r>
    </w:p>
    <w:p>
      <w:pPr>
        <w:rPr>
          <w:rFonts w:asciiTheme="minorEastAsia" w:hAnsiTheme="minorEastAsia" w:eastAsiaTheme="minorEastAsia"/>
          <w:b/>
          <w:sz w:val="24"/>
        </w:rPr>
      </w:pPr>
      <w:bookmarkStart w:id="69" w:name="_Toc234832987"/>
      <w:bookmarkStart w:id="70" w:name="_Toc9352775"/>
      <w:r>
        <w:rPr>
          <w:rFonts w:asciiTheme="minorEastAsia" w:hAnsiTheme="minorEastAsia" w:eastAsiaTheme="minorEastAsia"/>
          <w:sz w:val="24"/>
        </w:rPr>
        <w:t>2.7 组织竣工验收</w:t>
      </w:r>
      <w:bookmarkEnd w:id="69"/>
      <w:bookmarkEnd w:id="70"/>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发包人应按合同约定及时组织竣工验收。</w:t>
      </w:r>
    </w:p>
    <w:p>
      <w:pPr>
        <w:rPr>
          <w:rFonts w:asciiTheme="minorEastAsia" w:hAnsiTheme="minorEastAsia" w:eastAsiaTheme="minorEastAsia"/>
          <w:b/>
          <w:sz w:val="24"/>
        </w:rPr>
      </w:pPr>
      <w:bookmarkStart w:id="71" w:name="_Toc9352776"/>
      <w:bookmarkStart w:id="72" w:name="_Toc234832988"/>
      <w:r>
        <w:rPr>
          <w:rFonts w:asciiTheme="minorEastAsia" w:hAnsiTheme="minorEastAsia" w:eastAsiaTheme="minorEastAsia"/>
          <w:sz w:val="24"/>
        </w:rPr>
        <w:t>2.8 其他义务</w:t>
      </w:r>
      <w:bookmarkEnd w:id="71"/>
      <w:bookmarkEnd w:id="72"/>
    </w:p>
    <w:p>
      <w:pPr>
        <w:spacing w:line="400" w:lineRule="atLeast"/>
        <w:rPr>
          <w:rFonts w:asciiTheme="minorEastAsia" w:hAnsiTheme="minorEastAsia" w:eastAsiaTheme="minorEastAsia"/>
          <w:sz w:val="24"/>
        </w:rPr>
      </w:pPr>
      <w:r>
        <w:rPr>
          <w:rFonts w:asciiTheme="minorEastAsia" w:hAnsiTheme="minorEastAsia" w:eastAsiaTheme="minorEastAsia"/>
          <w:sz w:val="24"/>
        </w:rPr>
        <w:t>　　发包人应履行合同约定的其他义务。</w:t>
      </w:r>
    </w:p>
    <w:p>
      <w:pPr>
        <w:rPr>
          <w:rFonts w:asciiTheme="minorEastAsia" w:hAnsiTheme="minorEastAsia" w:eastAsiaTheme="minorEastAsia"/>
          <w:b/>
          <w:sz w:val="24"/>
        </w:rPr>
      </w:pPr>
      <w:bookmarkStart w:id="73" w:name="_Toc9352777"/>
      <w:bookmarkStart w:id="74" w:name="_Toc234832989"/>
      <w:r>
        <w:rPr>
          <w:rFonts w:asciiTheme="minorEastAsia" w:hAnsiTheme="minorEastAsia" w:eastAsiaTheme="minorEastAsia"/>
          <w:b/>
          <w:sz w:val="24"/>
        </w:rPr>
        <w:t>3. 监理人</w:t>
      </w:r>
      <w:bookmarkEnd w:id="73"/>
      <w:bookmarkEnd w:id="74"/>
    </w:p>
    <w:p>
      <w:pPr>
        <w:rPr>
          <w:rFonts w:asciiTheme="minorEastAsia" w:hAnsiTheme="minorEastAsia" w:eastAsiaTheme="minorEastAsia"/>
          <w:b/>
          <w:sz w:val="24"/>
        </w:rPr>
      </w:pPr>
      <w:bookmarkStart w:id="75" w:name="_Toc234832990"/>
      <w:bookmarkStart w:id="76" w:name="_Toc9352778"/>
      <w:r>
        <w:rPr>
          <w:rFonts w:asciiTheme="minorEastAsia" w:hAnsiTheme="minorEastAsia" w:eastAsiaTheme="minorEastAsia"/>
          <w:sz w:val="24"/>
        </w:rPr>
        <w:t>3.1 监理人的职责和权力</w:t>
      </w:r>
      <w:bookmarkEnd w:id="75"/>
      <w:bookmarkEnd w:id="76"/>
      <w:r>
        <w:rPr>
          <w:rFonts w:asciiTheme="minorEastAsia" w:hAnsiTheme="minorEastAsia" w:eastAsiaTheme="minorEastAsia"/>
          <w:sz w:val="24"/>
        </w:rPr>
        <w:t xml:space="preserve">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3.1.1 监理人受发包人委托，享有合同约定的权力。监理人在行使某项权力前需要经发包人事先批准而通用合同条款没有指明的，应在专用合同条款中指明。</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3.1.2 监理人发出的任何指示应视为已得到发包人的批准，但监理人无权免除或变更合同约定的发包人和承包人的权利、义务和责任。</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3.1.3 合同约定应由承包人承担的义务和责任，不因监理人对承包人提交文件的审查或批准，对工程、材料和设备的检查和检验，以及为实施监理作出的指示等职务行为而减轻或解除。</w:t>
      </w:r>
    </w:p>
    <w:p>
      <w:pPr>
        <w:rPr>
          <w:rFonts w:asciiTheme="minorEastAsia" w:hAnsiTheme="minorEastAsia" w:eastAsiaTheme="minorEastAsia"/>
          <w:b/>
          <w:sz w:val="24"/>
        </w:rPr>
      </w:pPr>
      <w:bookmarkStart w:id="77" w:name="_Toc234832991"/>
      <w:bookmarkStart w:id="78" w:name="_Toc9352779"/>
      <w:r>
        <w:rPr>
          <w:rFonts w:asciiTheme="minorEastAsia" w:hAnsiTheme="minorEastAsia" w:eastAsiaTheme="minorEastAsia"/>
          <w:sz w:val="24"/>
        </w:rPr>
        <w:t>3.2 总监理工程师</w:t>
      </w:r>
      <w:bookmarkEnd w:id="77"/>
      <w:bookmarkEnd w:id="7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发包人应在发出开工通知前将总监理工程师的任命通知承包人。总监理工程师更换时，应在调离14天前通知承包人。总监理工程师短期离开施工场地的，应委派代表代行其职责，并通知承包人。</w:t>
      </w:r>
    </w:p>
    <w:p>
      <w:pPr>
        <w:rPr>
          <w:rFonts w:asciiTheme="minorEastAsia" w:hAnsiTheme="minorEastAsia" w:eastAsiaTheme="minorEastAsia"/>
          <w:b/>
          <w:sz w:val="24"/>
        </w:rPr>
      </w:pPr>
      <w:bookmarkStart w:id="79" w:name="_Toc234832992"/>
      <w:bookmarkStart w:id="80" w:name="_Toc9352780"/>
      <w:r>
        <w:rPr>
          <w:rFonts w:asciiTheme="minorEastAsia" w:hAnsiTheme="minorEastAsia" w:eastAsiaTheme="minorEastAsia"/>
          <w:sz w:val="24"/>
        </w:rPr>
        <w:t>3.3 监理人员</w:t>
      </w:r>
      <w:bookmarkEnd w:id="79"/>
      <w:bookmarkEnd w:id="8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3.3.2 监理人员对承包人的任何工作、工程或其采用的材料和工程设备未在约定的或合理的期限内提出否定意见的，视为已获批准，但不影响监理人在以后拒绝该项工作、工程、材料或工程设备的权利。</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3.3.3 承包人对总监理工程师授权的监理人员发出的指示有疑问的，可向总监理工程师提出书面异议，总监理工程师应在48小时内对该指示予以确认、更改或撤销。</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3.3.4 除专用合同条款另有约定外，总监理工程师不应将第3.5款约定应由总监理工程师作出确定的权力授权或委托给其他监理人员。</w:t>
      </w:r>
    </w:p>
    <w:p>
      <w:pPr>
        <w:rPr>
          <w:rFonts w:asciiTheme="minorEastAsia" w:hAnsiTheme="minorEastAsia" w:eastAsiaTheme="minorEastAsia"/>
          <w:b/>
          <w:sz w:val="24"/>
        </w:rPr>
      </w:pPr>
      <w:bookmarkStart w:id="81" w:name="_Toc234832993"/>
      <w:bookmarkStart w:id="82" w:name="_Toc9352781"/>
      <w:r>
        <w:rPr>
          <w:rFonts w:asciiTheme="minorEastAsia" w:hAnsiTheme="minorEastAsia" w:eastAsiaTheme="minorEastAsia"/>
          <w:sz w:val="24"/>
        </w:rPr>
        <w:t>3.4 监理人的指示</w:t>
      </w:r>
      <w:bookmarkEnd w:id="81"/>
      <w:bookmarkEnd w:id="8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3.4.1 监理人应按第3.1款的约定向承包人发出指示，监理人的指示应盖有监理人授权的施工场地机构章，并由总监理工程师或总监理工程师按第3.3.1项约定授权的监理人员签字。</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3.4.2 承包人收到监理人按第3.4.1项作出的指示后应遵照执行。指示构成变更的，应按第15条处理。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3.4.4 除合同另有约定外，承包人只从总监理工程师或按第3.3.1项被授权的监理人员处取得指示。</w:t>
      </w:r>
    </w:p>
    <w:p>
      <w:pPr>
        <w:ind w:firstLine="480" w:firstLineChars="200"/>
        <w:rPr>
          <w:rFonts w:asciiTheme="minorEastAsia" w:hAnsiTheme="minorEastAsia" w:eastAsiaTheme="minorEastAsia"/>
          <w:sz w:val="24"/>
        </w:rPr>
      </w:pPr>
      <w:r>
        <w:rPr>
          <w:rFonts w:asciiTheme="minorEastAsia" w:hAnsiTheme="minorEastAsia" w:eastAsiaTheme="minorEastAsia"/>
          <w:sz w:val="24"/>
        </w:rPr>
        <w:t>3.4.5 由于监理人未能按合同约定发出指示、指示延误或指示错误而导致承包人费用增加和（或）工期延误的，由发包人承担赔偿责任。</w:t>
      </w:r>
    </w:p>
    <w:p>
      <w:pPr>
        <w:rPr>
          <w:rFonts w:asciiTheme="minorEastAsia" w:hAnsiTheme="minorEastAsia" w:eastAsiaTheme="minorEastAsia"/>
          <w:sz w:val="24"/>
        </w:rPr>
      </w:pPr>
      <w:bookmarkStart w:id="83" w:name="_Toc9352782"/>
      <w:bookmarkStart w:id="84" w:name="_Toc234832994"/>
      <w:r>
        <w:rPr>
          <w:rFonts w:asciiTheme="minorEastAsia" w:hAnsiTheme="minorEastAsia" w:eastAsiaTheme="minorEastAsia"/>
          <w:sz w:val="24"/>
        </w:rPr>
        <w:t>3.5</w:t>
      </w:r>
      <w:r>
        <w:rPr>
          <w:rFonts w:asciiTheme="minorEastAsia" w:hAnsiTheme="minorEastAsia" w:eastAsiaTheme="minorEastAsia"/>
          <w:sz w:val="24"/>
        </w:rPr>
        <w:tab/>
      </w:r>
      <w:r>
        <w:rPr>
          <w:rFonts w:asciiTheme="minorEastAsia" w:hAnsiTheme="minorEastAsia" w:eastAsiaTheme="minorEastAsia"/>
          <w:sz w:val="24"/>
        </w:rPr>
        <w:t>商定或确定</w:t>
      </w:r>
      <w:bookmarkEnd w:id="83"/>
      <w:bookmarkEnd w:id="84"/>
    </w:p>
    <w:p>
      <w:pPr>
        <w:spacing w:line="400" w:lineRule="atLeast"/>
        <w:ind w:firstLine="480" w:firstLineChars="200"/>
        <w:rPr>
          <w:sz w:val="24"/>
        </w:rPr>
      </w:pPr>
      <w:r>
        <w:rPr>
          <w:sz w:val="24"/>
        </w:rPr>
        <w:t>3.5.1合同约定总监理工程师应按照本款对任何事项进行商定或确定时，总监理工程师应与合同当事人协商，尽量达成一致。不能达成一致的，总监理工程师应认真研究后审慎确定。</w:t>
      </w:r>
    </w:p>
    <w:p>
      <w:pPr>
        <w:spacing w:line="400" w:lineRule="atLeast"/>
        <w:ind w:firstLine="480" w:firstLineChars="200"/>
        <w:rPr>
          <w:sz w:val="24"/>
        </w:rPr>
      </w:pPr>
      <w:r>
        <w:rPr>
          <w:sz w:val="24"/>
        </w:rPr>
        <w:t>3.5.2 总监理工程师应将商定或确定的事项通知合同当事人，并附详细依据。对总监理工程师的确定有异议的，</w:t>
      </w:r>
      <w:r>
        <w:rPr>
          <w:iCs/>
          <w:sz w:val="24"/>
        </w:rPr>
        <w:t>构成争议，</w:t>
      </w:r>
      <w:r>
        <w:rPr>
          <w:sz w:val="24"/>
        </w:rPr>
        <w:t>按照第24条的约定处理。在争议解决前，双方应暂按总监理工程师的确定执行，按照第24条的约定对总监理工程师的确定作出修改的，按修改后的结果执行。</w:t>
      </w:r>
    </w:p>
    <w:p>
      <w:pPr>
        <w:rPr>
          <w:rFonts w:asciiTheme="minorEastAsia" w:hAnsiTheme="minorEastAsia" w:eastAsiaTheme="minorEastAsia"/>
          <w:b/>
          <w:sz w:val="24"/>
        </w:rPr>
      </w:pPr>
      <w:bookmarkStart w:id="85" w:name="_Toc9352783"/>
      <w:bookmarkStart w:id="86" w:name="_Toc234832995"/>
      <w:r>
        <w:rPr>
          <w:rFonts w:asciiTheme="minorEastAsia" w:hAnsiTheme="minorEastAsia" w:eastAsiaTheme="minorEastAsia"/>
          <w:b/>
          <w:sz w:val="24"/>
        </w:rPr>
        <w:t>4. 承包人</w:t>
      </w:r>
      <w:bookmarkEnd w:id="85"/>
      <w:bookmarkEnd w:id="86"/>
    </w:p>
    <w:p>
      <w:pPr>
        <w:rPr>
          <w:rFonts w:asciiTheme="minorEastAsia" w:hAnsiTheme="minorEastAsia" w:eastAsiaTheme="minorEastAsia"/>
          <w:b/>
          <w:sz w:val="24"/>
        </w:rPr>
      </w:pPr>
      <w:bookmarkStart w:id="87" w:name="_Toc234832996"/>
      <w:bookmarkStart w:id="88" w:name="_Toc9352784"/>
      <w:r>
        <w:rPr>
          <w:rFonts w:asciiTheme="minorEastAsia" w:hAnsiTheme="minorEastAsia" w:eastAsiaTheme="minorEastAsia"/>
          <w:sz w:val="24"/>
        </w:rPr>
        <w:t>4.1 承包人的一般义务</w:t>
      </w:r>
      <w:bookmarkEnd w:id="87"/>
      <w:bookmarkEnd w:id="88"/>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4.1.1 遵守法律</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承包人在履行合同过程中应遵守法律，并保证发包人免于承担因承包人违反法律而引起的任何责任。</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4.1.2 依法纳税</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承包人应按有关法律规定纳税，应缴纳的税金包括在合同价格内。</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4.1.3 完成各项承包工作</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承包人应按合同约定以及监理人根据第3.4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4.1.4 对施工作业和施工方法的完备性负责</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承包人应按合同约定的工作内容和施工进度要求，编制施工组织设计和施工措施计划，并对所有施工作业和施工方法的完备性和安全可靠性负责。</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4.1.5 保证工程施工和人员的安全</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承包人应按第9.2款约定采取施工安全措施，确保工程及其人员、材料、设备和设施的安全，防止因工程施工造成的人身伤害和财产损失。</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4.1.6 负责施工场地及其周边环境与生态的保护工作</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承包人应按照第9.4款约定负责施工场地及其周边环境与生态的保护工作。</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4.1.7 避免施工对公众与他人的利益造成损害</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4.1.8 为他人提供方便</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承包人应按监理人的指示为他人在施工场地或附近实施与工程有关的其他各项工作提供可能的条件。除合同另有约定外，提供有关条件的内容和可能发生的费用，由监理人按第3.5款商定或确定。</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4.1.9 工程的维护和照管</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工程接收证书颁发前，承包人应负责照管和维护工程。工程接收证书颁发时尚有部分未竣工工程的，承包人还应负责该未竣工工程的照管和维护工作，直至竣工后移交给发包人为止。</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4.1.10 其他义务</w:t>
      </w:r>
    </w:p>
    <w:p>
      <w:pPr>
        <w:spacing w:line="400" w:lineRule="atLeast"/>
        <w:ind w:firstLine="468" w:firstLineChars="195"/>
        <w:rPr>
          <w:rFonts w:asciiTheme="minorEastAsia" w:hAnsiTheme="minorEastAsia" w:eastAsiaTheme="minorEastAsia"/>
          <w:sz w:val="24"/>
        </w:rPr>
      </w:pPr>
      <w:r>
        <w:rPr>
          <w:rFonts w:asciiTheme="minorEastAsia" w:hAnsiTheme="minorEastAsia" w:eastAsiaTheme="minorEastAsia"/>
          <w:sz w:val="24"/>
        </w:rPr>
        <w:t>承包人应履行合同约定的其他义务。</w:t>
      </w:r>
    </w:p>
    <w:p>
      <w:pPr>
        <w:rPr>
          <w:rFonts w:asciiTheme="minorEastAsia" w:hAnsiTheme="minorEastAsia" w:eastAsiaTheme="minorEastAsia"/>
          <w:b/>
          <w:sz w:val="24"/>
        </w:rPr>
      </w:pPr>
      <w:bookmarkStart w:id="89" w:name="_Toc234832997"/>
      <w:bookmarkStart w:id="90" w:name="_Toc9352785"/>
      <w:r>
        <w:rPr>
          <w:rFonts w:asciiTheme="minorEastAsia" w:hAnsiTheme="minorEastAsia" w:eastAsiaTheme="minorEastAsia"/>
          <w:sz w:val="24"/>
        </w:rPr>
        <w:t>4.2 履约担保</w:t>
      </w:r>
      <w:bookmarkEnd w:id="89"/>
      <w:bookmarkEnd w:id="9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承包人应保证其履约担保在发包人颁发工程接收证书前一直有效。发包人应在工程接收证书颁发后28天内把履约担保退还给承包人。</w:t>
      </w:r>
    </w:p>
    <w:p>
      <w:pPr>
        <w:rPr>
          <w:rFonts w:asciiTheme="minorEastAsia" w:hAnsiTheme="minorEastAsia" w:eastAsiaTheme="minorEastAsia"/>
          <w:b/>
          <w:sz w:val="24"/>
        </w:rPr>
      </w:pPr>
      <w:bookmarkStart w:id="91" w:name="_Toc234832998"/>
      <w:bookmarkStart w:id="92" w:name="_Toc9352786"/>
      <w:r>
        <w:rPr>
          <w:rFonts w:asciiTheme="minorEastAsia" w:hAnsiTheme="minorEastAsia" w:eastAsiaTheme="minorEastAsia"/>
          <w:sz w:val="24"/>
        </w:rPr>
        <w:t>4.3 分包</w:t>
      </w:r>
      <w:bookmarkEnd w:id="91"/>
      <w:bookmarkEnd w:id="9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4.3.1 承包人不得将其承包的全部工程转包给第三人，或将其承包的全部工程肢解后以分包的名义转包给第三人。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4.3.2 承包人不得将工程主体、关键性工作分包给第三人。除专用合同条款另有约定外，未经发包人同意，承包人不得将工程的其他部分或工作分包给第三人。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4.3.3分包人的资格能力应与其分包工程的标准和规模相适应。</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4.3.4按投标函附录约定分包工程的，承包人应向发包人和监理人提交分包合同副本。</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4.3.5承包人应与分包人就分包工程向发包人承担连带责任。</w:t>
      </w:r>
    </w:p>
    <w:p>
      <w:pPr>
        <w:rPr>
          <w:rFonts w:asciiTheme="minorEastAsia" w:hAnsiTheme="minorEastAsia" w:eastAsiaTheme="minorEastAsia"/>
          <w:sz w:val="24"/>
        </w:rPr>
      </w:pPr>
      <w:bookmarkStart w:id="93" w:name="_Toc234832999"/>
      <w:bookmarkStart w:id="94" w:name="_Toc9352787"/>
      <w:r>
        <w:rPr>
          <w:rFonts w:asciiTheme="minorEastAsia" w:hAnsiTheme="minorEastAsia" w:eastAsiaTheme="minorEastAsia"/>
          <w:sz w:val="24"/>
        </w:rPr>
        <w:t>4.4</w:t>
      </w:r>
      <w:r>
        <w:rPr>
          <w:rFonts w:asciiTheme="minorEastAsia" w:hAnsiTheme="minorEastAsia" w:eastAsiaTheme="minorEastAsia"/>
          <w:sz w:val="24"/>
        </w:rPr>
        <w:tab/>
      </w:r>
      <w:r>
        <w:rPr>
          <w:rFonts w:asciiTheme="minorEastAsia" w:hAnsiTheme="minorEastAsia" w:eastAsiaTheme="minorEastAsia"/>
          <w:sz w:val="24"/>
        </w:rPr>
        <w:t>联合体</w:t>
      </w:r>
      <w:bookmarkEnd w:id="93"/>
      <w:bookmarkEnd w:id="9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4.4.1 联合体各方应共同与发包人签订合同协议书。联合体各方应为履行合同承担连带责任。</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4.4.2 </w:t>
      </w:r>
      <w:r>
        <w:rPr>
          <w:rFonts w:asciiTheme="minorEastAsia" w:hAnsiTheme="minorEastAsia" w:eastAsiaTheme="minorEastAsia"/>
          <w:iCs/>
          <w:sz w:val="24"/>
        </w:rPr>
        <w:t>联合体协议经发包人确认后作为合同附件。</w:t>
      </w:r>
      <w:r>
        <w:rPr>
          <w:rFonts w:asciiTheme="minorEastAsia" w:hAnsiTheme="minorEastAsia" w:eastAsiaTheme="minorEastAsia"/>
          <w:sz w:val="24"/>
        </w:rPr>
        <w:t>在履行合同过程中，未经发包人同意，不得修改联合体协议。</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4.4.3 联合体牵头人负责与发包人和监理人联系，并接受指示，负责组织联合体各成员全面履行合同。</w:t>
      </w:r>
    </w:p>
    <w:p>
      <w:pPr>
        <w:rPr>
          <w:rFonts w:asciiTheme="minorEastAsia" w:hAnsiTheme="minorEastAsia" w:eastAsiaTheme="minorEastAsia"/>
          <w:sz w:val="24"/>
        </w:rPr>
      </w:pPr>
      <w:bookmarkStart w:id="95" w:name="_Toc234833000"/>
      <w:bookmarkStart w:id="96" w:name="_Toc9352788"/>
      <w:r>
        <w:rPr>
          <w:rFonts w:asciiTheme="minorEastAsia" w:hAnsiTheme="minorEastAsia" w:eastAsiaTheme="minorEastAsia"/>
          <w:sz w:val="24"/>
        </w:rPr>
        <w:t>4.5 承包人项目经理</w:t>
      </w:r>
      <w:bookmarkEnd w:id="95"/>
      <w:bookmarkEnd w:id="9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4.5.1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4.5.2 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4.5.3承包人为履行合同发出的一切函件均应盖有承包人授权的施工场地管理机构章，并由承包人项目经理或其授权代表签字。</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4.5.4 承包人项目经理可以授权其下属人员履行其某项职责，但事先应将这些人员的姓名和授权范围通知监理人。</w:t>
      </w:r>
    </w:p>
    <w:p>
      <w:pPr>
        <w:rPr>
          <w:rFonts w:asciiTheme="minorEastAsia" w:hAnsiTheme="minorEastAsia" w:eastAsiaTheme="minorEastAsia"/>
          <w:sz w:val="24"/>
        </w:rPr>
      </w:pPr>
      <w:bookmarkStart w:id="97" w:name="_Toc234833001"/>
      <w:bookmarkStart w:id="98" w:name="_Toc9352789"/>
      <w:r>
        <w:rPr>
          <w:rFonts w:asciiTheme="minorEastAsia" w:hAnsiTheme="minorEastAsia" w:eastAsiaTheme="minorEastAsia"/>
          <w:sz w:val="24"/>
        </w:rPr>
        <w:t>4.6 承包人人员的管理</w:t>
      </w:r>
      <w:bookmarkEnd w:id="97"/>
      <w:bookmarkEnd w:id="9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4.6.2 为完成合同约定的各项工作，承包人应向施工场地派遣或雇佣足够数量的下列人员：</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（1）具有相应资格的专业技工和合格的普工；</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（2）具有相应施工经验的技术人员；</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（3）具有相应岗位资格的各级管理人员。</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4.6.3 承包人安排在施工场地的主要管理人员和技术骨干应相对稳定。承包人更换主要管理人员和技术骨干时，应取得监理人的同意。</w:t>
      </w:r>
    </w:p>
    <w:p>
      <w:pPr>
        <w:spacing w:line="400" w:lineRule="atLeast"/>
        <w:ind w:firstLine="480" w:firstLineChars="200"/>
        <w:rPr>
          <w:sz w:val="24"/>
        </w:rPr>
      </w:pPr>
      <w:r>
        <w:rPr>
          <w:rFonts w:asciiTheme="minorEastAsia" w:hAnsiTheme="minorEastAsia" w:eastAsiaTheme="minorEastAsia"/>
          <w:sz w:val="24"/>
        </w:rPr>
        <w:t>4.6.4 特殊岗位的工作人员均应持有相应的资格证明，监理人有权随时检查。监理人认为有必要时，可进行现场考核。</w:t>
      </w:r>
    </w:p>
    <w:p>
      <w:pPr>
        <w:rPr>
          <w:rFonts w:asciiTheme="minorEastAsia" w:hAnsiTheme="minorEastAsia" w:eastAsiaTheme="minorEastAsia"/>
          <w:b/>
          <w:sz w:val="24"/>
        </w:rPr>
      </w:pPr>
      <w:bookmarkStart w:id="99" w:name="_Toc234833002"/>
      <w:bookmarkStart w:id="100" w:name="_Toc9352790"/>
      <w:r>
        <w:rPr>
          <w:rFonts w:asciiTheme="minorEastAsia" w:hAnsiTheme="minorEastAsia" w:eastAsiaTheme="minorEastAsia"/>
          <w:sz w:val="24"/>
        </w:rPr>
        <w:t>4.7 撤换承包人项目经理和其他人员</w:t>
      </w:r>
      <w:bookmarkEnd w:id="99"/>
      <w:bookmarkEnd w:id="10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承包人应对其项目经理和其他人员进行有效管理。监理人要求撤换不能胜任本职工作、行为不端或玩忽职守的承包人项目经理和其他人员的，承包人应予以撤换。</w:t>
      </w:r>
    </w:p>
    <w:p>
      <w:pPr>
        <w:tabs>
          <w:tab w:val="left" w:pos="3735"/>
        </w:tabs>
        <w:rPr>
          <w:rFonts w:asciiTheme="minorEastAsia" w:hAnsiTheme="minorEastAsia" w:eastAsiaTheme="minorEastAsia"/>
          <w:b/>
          <w:sz w:val="24"/>
        </w:rPr>
      </w:pPr>
      <w:bookmarkStart w:id="101" w:name="_Toc234833003"/>
      <w:bookmarkStart w:id="102" w:name="_Toc9352791"/>
      <w:r>
        <w:rPr>
          <w:rFonts w:asciiTheme="minorEastAsia" w:hAnsiTheme="minorEastAsia" w:eastAsiaTheme="minorEastAsia"/>
          <w:sz w:val="24"/>
        </w:rPr>
        <w:t>4.8 保障承包人人员的合法权益</w:t>
      </w:r>
      <w:bookmarkEnd w:id="101"/>
      <w:bookmarkEnd w:id="102"/>
      <w:r>
        <w:rPr>
          <w:rFonts w:asciiTheme="minorEastAsia" w:hAnsiTheme="minorEastAsia" w:eastAsiaTheme="minorEastAsia"/>
          <w:sz w:val="24"/>
        </w:rPr>
        <w:tab/>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4.8.1 承包人应与其雇佣的人员签订劳动合同，并按时发放工资。</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4.8.2 承包人应按劳动法的规定安排工作时间，保证其雇佣人员享有休息和休假的权利。因工程施工的特殊需要占用休假日或延长工作时间的，应不超过法律规定的限度，并按法律规定给予补休或付酬。</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4.8.3 承包人应为其雇佣人员提供必要的食宿条件，以及符合环境保护和卫生要求的生活环境，在远离城镇的施工场地，还应配备必要的伤病防治和急救的医务人员与医疗设施。</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4.8.5 承包人应按有关法律规定和合同约定，为其雇佣人员办理保险。</w:t>
      </w:r>
    </w:p>
    <w:p>
      <w:pPr>
        <w:spacing w:line="400" w:lineRule="atLeast"/>
        <w:ind w:firstLine="480" w:firstLineChars="200"/>
        <w:rPr>
          <w:sz w:val="24"/>
        </w:rPr>
      </w:pPr>
      <w:r>
        <w:rPr>
          <w:rFonts w:asciiTheme="minorEastAsia" w:hAnsiTheme="minorEastAsia" w:eastAsiaTheme="minorEastAsia"/>
          <w:sz w:val="24"/>
        </w:rPr>
        <w:t>4.8.6 承包人应负责处理其雇佣人员因工伤亡事故的善后事宜。</w:t>
      </w:r>
    </w:p>
    <w:p>
      <w:pPr>
        <w:rPr>
          <w:rFonts w:asciiTheme="minorEastAsia" w:hAnsiTheme="minorEastAsia" w:eastAsiaTheme="minorEastAsia"/>
          <w:b/>
          <w:sz w:val="24"/>
        </w:rPr>
      </w:pPr>
      <w:bookmarkStart w:id="103" w:name="_Toc234833004"/>
      <w:bookmarkStart w:id="104" w:name="_Toc9352792"/>
      <w:r>
        <w:rPr>
          <w:rFonts w:asciiTheme="minorEastAsia" w:hAnsiTheme="minorEastAsia" w:eastAsiaTheme="minorEastAsia"/>
          <w:sz w:val="24"/>
        </w:rPr>
        <w:t>4.9 工程价款应专款专用</w:t>
      </w:r>
      <w:bookmarkEnd w:id="103"/>
      <w:bookmarkEnd w:id="104"/>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发包人按合同约定支付给承包人的各项价款应专用于合同工程。</w:t>
      </w:r>
    </w:p>
    <w:p>
      <w:pPr>
        <w:rPr>
          <w:rFonts w:asciiTheme="minorEastAsia" w:hAnsiTheme="minorEastAsia" w:eastAsiaTheme="minorEastAsia"/>
          <w:b/>
          <w:sz w:val="24"/>
        </w:rPr>
      </w:pPr>
      <w:bookmarkStart w:id="105" w:name="_Toc234833005"/>
      <w:bookmarkStart w:id="106" w:name="_Toc9352793"/>
      <w:r>
        <w:rPr>
          <w:rFonts w:asciiTheme="minorEastAsia" w:hAnsiTheme="minorEastAsia" w:eastAsiaTheme="minorEastAsia"/>
          <w:sz w:val="24"/>
        </w:rPr>
        <w:t>4.10 承包人现场查勘</w:t>
      </w:r>
      <w:bookmarkEnd w:id="105"/>
      <w:bookmarkEnd w:id="106"/>
      <w:r>
        <w:rPr>
          <w:rFonts w:asciiTheme="minorEastAsia" w:hAnsiTheme="minorEastAsia" w:eastAsiaTheme="minorEastAsia"/>
          <w:sz w:val="24"/>
        </w:rPr>
        <w:t xml:space="preserve">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4.10.1 发包人应将其持有的现场地质勘探资料、水文气象资料提供给承包人，并对其准确性负责。但承包人应对其阅读上述有关资料后所作出的解释和推断负责。</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pPr>
        <w:rPr>
          <w:rFonts w:asciiTheme="minorEastAsia" w:hAnsiTheme="minorEastAsia" w:eastAsiaTheme="minorEastAsia"/>
          <w:b/>
          <w:sz w:val="24"/>
        </w:rPr>
      </w:pPr>
      <w:bookmarkStart w:id="107" w:name="_Toc234833006"/>
      <w:bookmarkStart w:id="108" w:name="_Toc9352794"/>
      <w:r>
        <w:rPr>
          <w:rFonts w:asciiTheme="minorEastAsia" w:hAnsiTheme="minorEastAsia" w:eastAsiaTheme="minorEastAsia"/>
          <w:sz w:val="24"/>
        </w:rPr>
        <w:t>4.11 不利物质条件</w:t>
      </w:r>
      <w:bookmarkEnd w:id="107"/>
      <w:bookmarkEnd w:id="108"/>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4.11.1不利物质条件，除专用合同条款另有约定外，是指承包人在施工场地遇到的不可预见的自然物质条件、非自然的物质障碍和污染物，包括地下和水文条件，但不包括气候条件。</w:t>
      </w:r>
    </w:p>
    <w:p>
      <w:pPr>
        <w:spacing w:line="400" w:lineRule="atLeast"/>
        <w:ind w:firstLine="420"/>
        <w:rPr>
          <w:rFonts w:asciiTheme="minorEastAsia" w:hAnsiTheme="minorEastAsia" w:eastAsiaTheme="minorEastAsia"/>
          <w:iCs/>
          <w:sz w:val="24"/>
        </w:rPr>
      </w:pPr>
      <w:r>
        <w:rPr>
          <w:rFonts w:asciiTheme="minorEastAsia" w:hAnsiTheme="minorEastAsia" w:eastAsiaTheme="minorEastAsia"/>
          <w:iCs/>
          <w:sz w:val="24"/>
        </w:rPr>
        <w:t>4.11.2承包人遇到不利物质条件时，应采取适应不利物质条件的合理措施继续施工，并及时通知监理人。监理人应当及时发出指示，指示构成变更的，按第15条约定办理。监理人没有发出指示的，承包人因采取合理措施而增加的费用和（或）工期延误，由发包人承担。</w:t>
      </w:r>
    </w:p>
    <w:p>
      <w:pPr>
        <w:rPr>
          <w:rFonts w:asciiTheme="minorEastAsia" w:hAnsiTheme="minorEastAsia" w:eastAsiaTheme="minorEastAsia"/>
          <w:b/>
          <w:sz w:val="24"/>
        </w:rPr>
      </w:pPr>
      <w:bookmarkStart w:id="109" w:name="_Toc234833007"/>
      <w:bookmarkStart w:id="110" w:name="_Toc9352795"/>
      <w:r>
        <w:rPr>
          <w:rFonts w:asciiTheme="minorEastAsia" w:hAnsiTheme="minorEastAsia" w:eastAsiaTheme="minorEastAsia"/>
          <w:b/>
          <w:sz w:val="24"/>
        </w:rPr>
        <w:t>5. 材料和工程设备</w:t>
      </w:r>
      <w:bookmarkEnd w:id="109"/>
      <w:bookmarkEnd w:id="110"/>
    </w:p>
    <w:p>
      <w:pPr>
        <w:rPr>
          <w:rFonts w:asciiTheme="minorEastAsia" w:hAnsiTheme="minorEastAsia" w:eastAsiaTheme="minorEastAsia"/>
          <w:b/>
          <w:sz w:val="24"/>
        </w:rPr>
      </w:pPr>
      <w:bookmarkStart w:id="111" w:name="_Toc234833008"/>
      <w:bookmarkStart w:id="112" w:name="_Toc9352796"/>
      <w:r>
        <w:rPr>
          <w:rFonts w:asciiTheme="minorEastAsia" w:hAnsiTheme="minorEastAsia" w:eastAsiaTheme="minorEastAsia"/>
          <w:sz w:val="24"/>
        </w:rPr>
        <w:t>5.1 承包人提供的材料和工程设备</w:t>
      </w:r>
      <w:bookmarkEnd w:id="111"/>
      <w:bookmarkEnd w:id="11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5.1.1 除专用合同条款另有约定外，承包人提供的材料和工程设备均由承包人负责采购、运输和保管。承包人应对其采购的材料和工程设备负责。</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5.1.2 承包人应按专用合同条款的约定，将各项材料和工程设备的供货人及品种、规格、数量和供货时间等报送监理人审批。承包人应向监理</w:t>
      </w:r>
      <w:r>
        <w:rPr>
          <w:rFonts w:asciiTheme="minorEastAsia" w:hAnsiTheme="minorEastAsia" w:eastAsiaTheme="minorEastAsia"/>
          <w:iCs/>
          <w:sz w:val="24"/>
        </w:rPr>
        <w:t>人</w:t>
      </w:r>
      <w:r>
        <w:rPr>
          <w:rFonts w:asciiTheme="minorEastAsia" w:hAnsiTheme="minorEastAsia" w:eastAsiaTheme="minorEastAsia"/>
          <w:sz w:val="24"/>
        </w:rPr>
        <w:t>提交其负责提供的材料和工程设备的质量证明文件，并满足合同约定的质量标准。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pPr>
        <w:rPr>
          <w:rFonts w:asciiTheme="minorEastAsia" w:hAnsiTheme="minorEastAsia" w:eastAsiaTheme="minorEastAsia"/>
          <w:b/>
          <w:sz w:val="24"/>
        </w:rPr>
      </w:pPr>
      <w:bookmarkStart w:id="113" w:name="_Toc234833009"/>
      <w:bookmarkStart w:id="114" w:name="_Toc9352797"/>
      <w:r>
        <w:rPr>
          <w:rFonts w:asciiTheme="minorEastAsia" w:hAnsiTheme="minorEastAsia" w:eastAsiaTheme="minorEastAsia"/>
          <w:sz w:val="24"/>
        </w:rPr>
        <w:t>5.2 发包人提供的材料和工程设备</w:t>
      </w:r>
      <w:bookmarkEnd w:id="113"/>
      <w:bookmarkEnd w:id="11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5.2.1 发包人提供的材料和工程设备，应在专用合同条款中写明材料和工程设备的名称、规格、数量、价格、交货方式、交货地点和计划交货日期等。</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5.2.2 承包人应根据合同进度计划的安排，向监理人报送要求发包人交货的日期计划。发包人应按照监理人与合同双方当事人</w:t>
      </w:r>
      <w:r>
        <w:rPr>
          <w:rFonts w:asciiTheme="minorEastAsia" w:hAnsiTheme="minorEastAsia" w:eastAsiaTheme="minorEastAsia"/>
          <w:iCs/>
          <w:sz w:val="24"/>
        </w:rPr>
        <w:t>商定</w:t>
      </w:r>
      <w:r>
        <w:rPr>
          <w:rFonts w:asciiTheme="minorEastAsia" w:hAnsiTheme="minorEastAsia" w:eastAsiaTheme="minorEastAsia"/>
          <w:sz w:val="24"/>
        </w:rPr>
        <w:t>的交货日期，向承包人提交材料和工程设备。</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5.2.3 发包人应在材料和工程设备到货7天前通知承包人，承包人应会同监理人在约定的时间内，赴交货地点共同进行验收。除专用合同条款另有约定外，发包人提供的材料和工程设备验收后，由承包人负责接收、运输和保管。</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5.2.4 发包人要求向承包人提前交货的，承包人不得拒绝，但发包人应承担承包人由此增加的费用。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5.2.5 承包人要求更改交货日期或地点的，应事先报请监理人批准。由于承包人要求更改交货时间或地点所增加的费用和（或）工期延误由承包人承担。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pPr>
        <w:rPr>
          <w:rFonts w:asciiTheme="minorEastAsia" w:hAnsiTheme="minorEastAsia" w:eastAsiaTheme="minorEastAsia"/>
          <w:b/>
          <w:sz w:val="24"/>
        </w:rPr>
      </w:pPr>
      <w:bookmarkStart w:id="115" w:name="_Toc234833010"/>
      <w:bookmarkStart w:id="116" w:name="_Toc9352798"/>
      <w:r>
        <w:rPr>
          <w:rFonts w:asciiTheme="minorEastAsia" w:hAnsiTheme="minorEastAsia" w:eastAsiaTheme="minorEastAsia"/>
          <w:sz w:val="24"/>
        </w:rPr>
        <w:t>5.3 材料和工程设备专用于合同工程</w:t>
      </w:r>
      <w:bookmarkEnd w:id="115"/>
      <w:bookmarkEnd w:id="11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5.3.1运入施工场地的材料、工程设备，包括备品备件、安装专用工器具与随机资料，必须专用于合同工程，未经监理人同意，承包人不得运出施工场地或挪作他用。</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pPr>
        <w:rPr>
          <w:rFonts w:asciiTheme="minorEastAsia" w:hAnsiTheme="minorEastAsia" w:eastAsiaTheme="minorEastAsia"/>
          <w:b/>
          <w:sz w:val="24"/>
        </w:rPr>
      </w:pPr>
      <w:bookmarkStart w:id="117" w:name="_Toc234833011"/>
      <w:bookmarkStart w:id="118" w:name="_Toc9352799"/>
      <w:r>
        <w:rPr>
          <w:rFonts w:asciiTheme="minorEastAsia" w:hAnsiTheme="minorEastAsia" w:eastAsiaTheme="minorEastAsia"/>
          <w:sz w:val="24"/>
        </w:rPr>
        <w:t>5.4 禁止使用不合格的材料和工程设备</w:t>
      </w:r>
      <w:bookmarkEnd w:id="117"/>
      <w:bookmarkEnd w:id="118"/>
      <w:r>
        <w:rPr>
          <w:rFonts w:asciiTheme="minorEastAsia" w:hAnsiTheme="minorEastAsia" w:eastAsiaTheme="minorEastAsia"/>
          <w:sz w:val="24"/>
        </w:rPr>
        <w:t xml:space="preserve">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5.4.1 监理人有权拒绝承包人提供的不合格材料或工程设备，并要求承包人立即进行更换。监理人应在更换后再次进行检查和检验，由此增加的费用和（或）工期延误由承包人承担。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5.4.2 监理人发现承包人使用了不合格的材料和工程设备，应即时发出指示要求承包人立即改正，并禁止在工程中继续使用不合格的材料和工程设备。</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5.4.3 发包人提供的材料或工程设备不符合合同要求的，承包人有权拒绝，并可要求发包人更换，由此增加的费用和（或）工期延误由发包人承担。</w:t>
      </w:r>
    </w:p>
    <w:p>
      <w:pPr>
        <w:rPr>
          <w:rFonts w:asciiTheme="minorEastAsia" w:hAnsiTheme="minorEastAsia" w:eastAsiaTheme="minorEastAsia"/>
          <w:b/>
          <w:sz w:val="24"/>
        </w:rPr>
      </w:pPr>
      <w:bookmarkStart w:id="119" w:name="_Toc234833012"/>
      <w:bookmarkStart w:id="120" w:name="_Toc9352800"/>
      <w:r>
        <w:rPr>
          <w:rFonts w:asciiTheme="minorEastAsia" w:hAnsiTheme="minorEastAsia" w:eastAsiaTheme="minorEastAsia"/>
          <w:b/>
          <w:sz w:val="24"/>
        </w:rPr>
        <w:t>6. 施工设备和临时设施</w:t>
      </w:r>
      <w:bookmarkEnd w:id="119"/>
      <w:bookmarkEnd w:id="120"/>
      <w:r>
        <w:rPr>
          <w:rFonts w:asciiTheme="minorEastAsia" w:hAnsiTheme="minorEastAsia" w:eastAsiaTheme="minorEastAsia"/>
          <w:b/>
          <w:sz w:val="24"/>
        </w:rPr>
        <w:t xml:space="preserve"> </w:t>
      </w:r>
    </w:p>
    <w:p>
      <w:pPr>
        <w:rPr>
          <w:rFonts w:asciiTheme="minorEastAsia" w:hAnsiTheme="minorEastAsia" w:eastAsiaTheme="minorEastAsia"/>
          <w:b/>
          <w:sz w:val="24"/>
        </w:rPr>
      </w:pPr>
      <w:bookmarkStart w:id="121" w:name="_Toc234833013"/>
      <w:bookmarkStart w:id="122" w:name="_Toc9352801"/>
      <w:r>
        <w:rPr>
          <w:rFonts w:asciiTheme="minorEastAsia" w:hAnsiTheme="minorEastAsia" w:eastAsiaTheme="minorEastAsia"/>
          <w:sz w:val="24"/>
        </w:rPr>
        <w:t>6.1 承包人提供的施工设备和临时设施</w:t>
      </w:r>
      <w:bookmarkEnd w:id="121"/>
      <w:bookmarkEnd w:id="12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6.1.1 承包人应按合同进度计划的要求，及时配置施工设备和修建临时设施。进入施工场地的承包人设备需经监理人核查后才能投入使用。承包人更换合同约定的承包人设备的，应报监理人批准。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6.1.2 除专用合同条款另有约定外，承包人应自行承担修建临时设施的费用，需要临时占地的，应由发包人办理申请手续并承担相应费用。</w:t>
      </w:r>
    </w:p>
    <w:p>
      <w:pPr>
        <w:rPr>
          <w:rFonts w:asciiTheme="minorEastAsia" w:hAnsiTheme="minorEastAsia" w:eastAsiaTheme="minorEastAsia"/>
          <w:b/>
          <w:sz w:val="24"/>
        </w:rPr>
      </w:pPr>
      <w:bookmarkStart w:id="123" w:name="_Toc234833014"/>
      <w:bookmarkStart w:id="124" w:name="_Toc9352802"/>
      <w:r>
        <w:rPr>
          <w:rFonts w:asciiTheme="minorEastAsia" w:hAnsiTheme="minorEastAsia" w:eastAsiaTheme="minorEastAsia"/>
          <w:sz w:val="24"/>
        </w:rPr>
        <w:t>6.2 发包人提供的施工设备和临时设施</w:t>
      </w:r>
      <w:bookmarkEnd w:id="123"/>
      <w:bookmarkEnd w:id="12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发包人提供的施工设备或临时设施在专用合同条款中约定。</w:t>
      </w:r>
    </w:p>
    <w:p>
      <w:pPr>
        <w:rPr>
          <w:rFonts w:asciiTheme="minorEastAsia" w:hAnsiTheme="minorEastAsia" w:eastAsiaTheme="minorEastAsia"/>
          <w:b/>
          <w:sz w:val="24"/>
        </w:rPr>
      </w:pPr>
      <w:bookmarkStart w:id="125" w:name="_Toc234833015"/>
      <w:bookmarkStart w:id="126" w:name="_Toc9352803"/>
      <w:r>
        <w:rPr>
          <w:rFonts w:asciiTheme="minorEastAsia" w:hAnsiTheme="minorEastAsia" w:eastAsiaTheme="minorEastAsia"/>
          <w:sz w:val="24"/>
        </w:rPr>
        <w:t>6.3 要求承包人增加或更换施工设备</w:t>
      </w:r>
      <w:bookmarkEnd w:id="125"/>
      <w:bookmarkEnd w:id="12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承包人使用的施工设备不能满足合同进度计划和（或）质量要求时，监理人有权要求承包人增加或更换施工设备，承包人应及时增加或更换，由此增加的费用和（或）工期延误由承包人承担。</w:t>
      </w:r>
    </w:p>
    <w:p>
      <w:pPr>
        <w:rPr>
          <w:rFonts w:asciiTheme="minorEastAsia" w:hAnsiTheme="minorEastAsia" w:eastAsiaTheme="minorEastAsia"/>
          <w:b/>
          <w:sz w:val="24"/>
        </w:rPr>
      </w:pPr>
      <w:bookmarkStart w:id="127" w:name="_Toc234833016"/>
      <w:bookmarkStart w:id="128" w:name="_Toc9352804"/>
      <w:r>
        <w:rPr>
          <w:rFonts w:asciiTheme="minorEastAsia" w:hAnsiTheme="minorEastAsia" w:eastAsiaTheme="minorEastAsia"/>
          <w:sz w:val="24"/>
        </w:rPr>
        <w:t>6.4 施工设备和临时设施专用于合同工程</w:t>
      </w:r>
      <w:bookmarkEnd w:id="127"/>
      <w:bookmarkEnd w:id="12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6.4.1除合同另有约定外，运入施工场地的所有施工设备以及在施工场地建设的临时设施应专用于合同工程。未经监理人同意，不得将上述施工设备和临时设施中的任何部分运出施工场地或挪作他用。</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6.4.2 经监理人同意，承包人可根据合同进度计划撤走闲置的施工设备。</w:t>
      </w:r>
    </w:p>
    <w:p>
      <w:pPr>
        <w:rPr>
          <w:rFonts w:asciiTheme="minorEastAsia" w:hAnsiTheme="minorEastAsia" w:eastAsiaTheme="minorEastAsia"/>
          <w:b/>
          <w:sz w:val="24"/>
        </w:rPr>
      </w:pPr>
      <w:bookmarkStart w:id="129" w:name="_Toc234833017"/>
      <w:bookmarkStart w:id="130" w:name="_Toc9352805"/>
      <w:r>
        <w:rPr>
          <w:rFonts w:asciiTheme="minorEastAsia" w:hAnsiTheme="minorEastAsia" w:eastAsiaTheme="minorEastAsia"/>
          <w:b/>
          <w:sz w:val="24"/>
        </w:rPr>
        <w:t>7. 交通运输</w:t>
      </w:r>
      <w:bookmarkEnd w:id="129"/>
      <w:bookmarkEnd w:id="130"/>
      <w:r>
        <w:rPr>
          <w:rFonts w:asciiTheme="minorEastAsia" w:hAnsiTheme="minorEastAsia" w:eastAsiaTheme="minorEastAsia"/>
          <w:b/>
          <w:sz w:val="24"/>
        </w:rPr>
        <w:t xml:space="preserve"> </w:t>
      </w:r>
    </w:p>
    <w:p>
      <w:pPr>
        <w:rPr>
          <w:rFonts w:asciiTheme="minorEastAsia" w:hAnsiTheme="minorEastAsia" w:eastAsiaTheme="minorEastAsia"/>
          <w:b/>
          <w:sz w:val="24"/>
        </w:rPr>
      </w:pPr>
      <w:bookmarkStart w:id="131" w:name="_Toc234833018"/>
      <w:bookmarkStart w:id="132" w:name="_Toc9352806"/>
      <w:r>
        <w:rPr>
          <w:rFonts w:asciiTheme="minorEastAsia" w:hAnsiTheme="minorEastAsia" w:eastAsiaTheme="minorEastAsia"/>
          <w:sz w:val="24"/>
        </w:rPr>
        <w:t>7.1 道路通行权和场外设施</w:t>
      </w:r>
      <w:bookmarkEnd w:id="131"/>
      <w:bookmarkEnd w:id="132"/>
    </w:p>
    <w:p>
      <w:pPr>
        <w:spacing w:line="400" w:lineRule="atLeast"/>
        <w:ind w:firstLine="420"/>
        <w:rPr>
          <w:rFonts w:asciiTheme="minorEastAsia" w:hAnsiTheme="minorEastAsia" w:eastAsiaTheme="minorEastAsia"/>
          <w:i/>
          <w:sz w:val="24"/>
        </w:rPr>
      </w:pPr>
      <w:r>
        <w:rPr>
          <w:rFonts w:asciiTheme="minorEastAsia" w:hAnsiTheme="minorEastAsia" w:eastAsiaTheme="minorEastAsia"/>
          <w:sz w:val="24"/>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pPr>
        <w:rPr>
          <w:rFonts w:asciiTheme="minorEastAsia" w:hAnsiTheme="minorEastAsia" w:eastAsiaTheme="minorEastAsia"/>
          <w:b/>
          <w:sz w:val="24"/>
        </w:rPr>
      </w:pPr>
      <w:bookmarkStart w:id="133" w:name="_Toc234833019"/>
      <w:bookmarkStart w:id="134" w:name="_Toc9352807"/>
      <w:r>
        <w:rPr>
          <w:rFonts w:asciiTheme="minorEastAsia" w:hAnsiTheme="minorEastAsia" w:eastAsiaTheme="minorEastAsia"/>
          <w:sz w:val="24"/>
        </w:rPr>
        <w:t>7.2 场内施工道路</w:t>
      </w:r>
      <w:bookmarkEnd w:id="133"/>
      <w:bookmarkEnd w:id="13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7.2.1 除专用合同条款另有约定外，承包人应负责修建、维修、养护和管理施工所需的临时道路和交通设施，包括维修、养护和管理发包人提供的道路和交通设施，并承担相应费用。</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7.2.2 除专用合同条款另有约定外，承包人修建的临时道路和交通设施应免费提供发包人和监理人使用。</w:t>
      </w:r>
    </w:p>
    <w:p>
      <w:pPr>
        <w:rPr>
          <w:rFonts w:asciiTheme="minorEastAsia" w:hAnsiTheme="minorEastAsia" w:eastAsiaTheme="minorEastAsia"/>
          <w:b/>
          <w:sz w:val="24"/>
        </w:rPr>
      </w:pPr>
      <w:bookmarkStart w:id="135" w:name="_Toc234833020"/>
      <w:bookmarkStart w:id="136" w:name="_Toc9352808"/>
      <w:r>
        <w:rPr>
          <w:rFonts w:asciiTheme="minorEastAsia" w:hAnsiTheme="minorEastAsia" w:eastAsiaTheme="minorEastAsia"/>
          <w:sz w:val="24"/>
        </w:rPr>
        <w:t>7.3 场外交通</w:t>
      </w:r>
      <w:bookmarkEnd w:id="135"/>
      <w:bookmarkEnd w:id="13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7.3.1 承包人车辆外出行驶所需的场外公共道路的通行费、养路费和税款等由承包人承担。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7.3.2 承包人应遵守有关交通法规，严格按照道路和桥梁的限制荷重安全行驶，并服从交通管理部门的检查和监督。</w:t>
      </w:r>
    </w:p>
    <w:p>
      <w:pPr>
        <w:rPr>
          <w:rFonts w:asciiTheme="minorEastAsia" w:hAnsiTheme="minorEastAsia" w:eastAsiaTheme="minorEastAsia"/>
          <w:b/>
          <w:sz w:val="24"/>
        </w:rPr>
      </w:pPr>
      <w:bookmarkStart w:id="137" w:name="_Toc234833021"/>
      <w:bookmarkStart w:id="138" w:name="_Toc9352809"/>
      <w:r>
        <w:rPr>
          <w:rFonts w:asciiTheme="minorEastAsia" w:hAnsiTheme="minorEastAsia" w:eastAsiaTheme="minorEastAsia"/>
          <w:sz w:val="24"/>
        </w:rPr>
        <w:t>7.4 超大件和超重件的运输</w:t>
      </w:r>
      <w:bookmarkEnd w:id="137"/>
      <w:bookmarkEnd w:id="13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rPr>
          <w:rFonts w:asciiTheme="minorEastAsia" w:hAnsiTheme="minorEastAsia" w:eastAsiaTheme="minorEastAsia"/>
          <w:b/>
          <w:sz w:val="24"/>
        </w:rPr>
      </w:pPr>
      <w:bookmarkStart w:id="139" w:name="_Toc234833022"/>
      <w:bookmarkStart w:id="140" w:name="_Toc9352810"/>
      <w:r>
        <w:rPr>
          <w:rFonts w:asciiTheme="minorEastAsia" w:hAnsiTheme="minorEastAsia" w:eastAsiaTheme="minorEastAsia"/>
          <w:sz w:val="24"/>
        </w:rPr>
        <w:t>7.5 道路和桥梁的损坏责任</w:t>
      </w:r>
      <w:bookmarkEnd w:id="139"/>
      <w:bookmarkEnd w:id="140"/>
    </w:p>
    <w:p>
      <w:pPr>
        <w:spacing w:line="400" w:lineRule="atLeast"/>
        <w:rPr>
          <w:rFonts w:asciiTheme="minorEastAsia" w:hAnsiTheme="minorEastAsia" w:eastAsiaTheme="minorEastAsia"/>
          <w:sz w:val="24"/>
        </w:rPr>
      </w:pPr>
      <w:r>
        <w:rPr>
          <w:rFonts w:asciiTheme="minorEastAsia" w:hAnsiTheme="minorEastAsia" w:eastAsiaTheme="minorEastAsia"/>
          <w:sz w:val="24"/>
        </w:rPr>
        <w:t>　　因承包人运输造成施工场地内外公共道路和桥梁损坏的，由承包人承担修复损坏的全部费用和可能引起的赔偿。</w:t>
      </w:r>
    </w:p>
    <w:p>
      <w:pPr>
        <w:rPr>
          <w:rFonts w:asciiTheme="minorEastAsia" w:hAnsiTheme="minorEastAsia" w:eastAsiaTheme="minorEastAsia"/>
          <w:b/>
          <w:sz w:val="24"/>
        </w:rPr>
      </w:pPr>
      <w:bookmarkStart w:id="141" w:name="_Toc234833023"/>
      <w:bookmarkStart w:id="142" w:name="_Toc9352811"/>
      <w:r>
        <w:rPr>
          <w:rFonts w:asciiTheme="minorEastAsia" w:hAnsiTheme="minorEastAsia" w:eastAsiaTheme="minorEastAsia"/>
          <w:sz w:val="24"/>
        </w:rPr>
        <w:t>7.6 水路和航空运输</w:t>
      </w:r>
      <w:bookmarkEnd w:id="141"/>
      <w:bookmarkEnd w:id="142"/>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本条上述各款的内容适用于水路运输和航空运输，其中“道路”一词的涵义包括河道、航线、船闸、机场、码头、堤防以及水路或航空运输中其他相似结构物；“车辆”一词的涵义包括船舶和飞机等。 </w:t>
      </w:r>
    </w:p>
    <w:p>
      <w:pPr>
        <w:rPr>
          <w:rFonts w:asciiTheme="minorEastAsia" w:hAnsiTheme="minorEastAsia" w:eastAsiaTheme="minorEastAsia"/>
          <w:b/>
        </w:rPr>
      </w:pPr>
      <w:bookmarkStart w:id="143" w:name="_Toc234833024"/>
      <w:bookmarkStart w:id="144" w:name="_Toc9352812"/>
      <w:r>
        <w:rPr>
          <w:rFonts w:asciiTheme="minorEastAsia" w:hAnsiTheme="minorEastAsia" w:eastAsiaTheme="minorEastAsia"/>
          <w:b/>
        </w:rPr>
        <w:t>8. 测量放线</w:t>
      </w:r>
      <w:bookmarkEnd w:id="143"/>
      <w:bookmarkEnd w:id="144"/>
    </w:p>
    <w:p>
      <w:pPr>
        <w:rPr>
          <w:rFonts w:asciiTheme="minorEastAsia" w:hAnsiTheme="minorEastAsia" w:eastAsiaTheme="minorEastAsia"/>
          <w:b/>
          <w:sz w:val="24"/>
        </w:rPr>
      </w:pPr>
      <w:bookmarkStart w:id="145" w:name="_Toc234833025"/>
      <w:bookmarkStart w:id="146" w:name="_Toc9352813"/>
      <w:r>
        <w:rPr>
          <w:rFonts w:asciiTheme="minorEastAsia" w:hAnsiTheme="minorEastAsia" w:eastAsiaTheme="minorEastAsia"/>
          <w:sz w:val="24"/>
        </w:rPr>
        <w:t>8.1 施工控制网</w:t>
      </w:r>
      <w:bookmarkEnd w:id="145"/>
      <w:bookmarkEnd w:id="14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8.1.1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pPr>
        <w:spacing w:line="400" w:lineRule="atLeast"/>
        <w:rPr>
          <w:rFonts w:asciiTheme="minorEastAsia" w:hAnsiTheme="minorEastAsia" w:eastAsiaTheme="minorEastAsia"/>
          <w:sz w:val="24"/>
        </w:rPr>
      </w:pPr>
      <w:r>
        <w:rPr>
          <w:rFonts w:asciiTheme="minorEastAsia" w:hAnsiTheme="minorEastAsia" w:eastAsiaTheme="minorEastAsia"/>
          <w:sz w:val="24"/>
        </w:rPr>
        <w:t>　　8.1.2承包人应负责管理施工控制网点。施工控制网点丢失或损坏的，承包人应及时修复。承包人应承担施工控制网点的管理与修复费用，并在工程竣工后将施工控制网点移交发包人。</w:t>
      </w:r>
    </w:p>
    <w:p>
      <w:pPr>
        <w:rPr>
          <w:rFonts w:asciiTheme="minorEastAsia" w:hAnsiTheme="minorEastAsia" w:eastAsiaTheme="minorEastAsia"/>
          <w:b/>
          <w:sz w:val="24"/>
        </w:rPr>
      </w:pPr>
      <w:bookmarkStart w:id="147" w:name="_Toc234833026"/>
      <w:bookmarkStart w:id="148" w:name="_Toc9352814"/>
      <w:r>
        <w:rPr>
          <w:rFonts w:asciiTheme="minorEastAsia" w:hAnsiTheme="minorEastAsia" w:eastAsiaTheme="minorEastAsia"/>
          <w:sz w:val="24"/>
        </w:rPr>
        <w:t>8.2 施工测量</w:t>
      </w:r>
      <w:bookmarkEnd w:id="147"/>
      <w:bookmarkEnd w:id="148"/>
    </w:p>
    <w:p>
      <w:pPr>
        <w:spacing w:line="400" w:lineRule="atLeast"/>
        <w:rPr>
          <w:rFonts w:asciiTheme="minorEastAsia" w:hAnsiTheme="minorEastAsia" w:eastAsiaTheme="minorEastAsia"/>
          <w:sz w:val="24"/>
        </w:rPr>
      </w:pPr>
      <w:r>
        <w:rPr>
          <w:rFonts w:asciiTheme="minorEastAsia" w:hAnsiTheme="minorEastAsia" w:eastAsiaTheme="minorEastAsia"/>
          <w:sz w:val="24"/>
        </w:rPr>
        <w:t>　　8.2.1承包人应负责施工过程中的全部施工测量放线工作，并配置合格的人员、仪器、设备和其他物品。</w:t>
      </w:r>
    </w:p>
    <w:p>
      <w:pPr>
        <w:spacing w:line="400" w:lineRule="atLeast"/>
        <w:rPr>
          <w:rFonts w:asciiTheme="minorEastAsia" w:hAnsiTheme="minorEastAsia" w:eastAsiaTheme="minorEastAsia"/>
          <w:sz w:val="24"/>
        </w:rPr>
      </w:pPr>
      <w:r>
        <w:rPr>
          <w:rFonts w:asciiTheme="minorEastAsia" w:hAnsiTheme="minorEastAsia" w:eastAsiaTheme="minorEastAsia"/>
          <w:sz w:val="24"/>
        </w:rPr>
        <w:t>　　8.2.2监理人可以指示承包人进行抽样复测，当复测中发现错误或出现超过合同约定的误差时，承包人应按监理人指示进行修正或补测，并承担相应的复测费用。</w:t>
      </w:r>
    </w:p>
    <w:p>
      <w:pPr>
        <w:rPr>
          <w:rFonts w:asciiTheme="minorEastAsia" w:hAnsiTheme="minorEastAsia" w:eastAsiaTheme="minorEastAsia"/>
          <w:b/>
          <w:sz w:val="24"/>
        </w:rPr>
      </w:pPr>
      <w:bookmarkStart w:id="149" w:name="_Toc234833027"/>
      <w:bookmarkStart w:id="150" w:name="_Toc9352815"/>
      <w:r>
        <w:rPr>
          <w:rFonts w:asciiTheme="minorEastAsia" w:hAnsiTheme="minorEastAsia" w:eastAsiaTheme="minorEastAsia"/>
          <w:sz w:val="24"/>
        </w:rPr>
        <w:t>8.3 基准资料错误的责任</w:t>
      </w:r>
      <w:bookmarkEnd w:id="149"/>
      <w:bookmarkEnd w:id="150"/>
    </w:p>
    <w:p>
      <w:pPr>
        <w:spacing w:line="400" w:lineRule="atLeast"/>
        <w:rPr>
          <w:rFonts w:asciiTheme="minorEastAsia" w:hAnsiTheme="minorEastAsia" w:eastAsiaTheme="minorEastAsia"/>
          <w:sz w:val="24"/>
        </w:rPr>
      </w:pPr>
      <w:r>
        <w:rPr>
          <w:rFonts w:asciiTheme="minorEastAsia" w:hAnsiTheme="minorEastAsia" w:eastAsiaTheme="minorEastAsia"/>
          <w:sz w:val="24"/>
        </w:rPr>
        <w:t>　　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pPr>
        <w:rPr>
          <w:rFonts w:asciiTheme="minorEastAsia" w:hAnsiTheme="minorEastAsia" w:eastAsiaTheme="minorEastAsia"/>
          <w:b/>
          <w:sz w:val="24"/>
        </w:rPr>
      </w:pPr>
      <w:bookmarkStart w:id="151" w:name="_Toc234833028"/>
      <w:bookmarkStart w:id="152" w:name="_Toc9352816"/>
      <w:r>
        <w:rPr>
          <w:rFonts w:asciiTheme="minorEastAsia" w:hAnsiTheme="minorEastAsia" w:eastAsiaTheme="minorEastAsia"/>
          <w:sz w:val="24"/>
        </w:rPr>
        <w:t>8.4 监理人使用施工控制网</w:t>
      </w:r>
      <w:bookmarkEnd w:id="151"/>
      <w:bookmarkEnd w:id="152"/>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监理人需要使用施工控制网的，承包人应提供必要的协助，发包人不再为此支付费用。</w:t>
      </w:r>
    </w:p>
    <w:p>
      <w:pPr>
        <w:rPr>
          <w:rFonts w:asciiTheme="minorEastAsia" w:hAnsiTheme="minorEastAsia" w:eastAsiaTheme="minorEastAsia"/>
          <w:b/>
          <w:sz w:val="24"/>
        </w:rPr>
      </w:pPr>
      <w:bookmarkStart w:id="153" w:name="_Toc234833029"/>
      <w:bookmarkStart w:id="154" w:name="_Toc9352817"/>
      <w:r>
        <w:rPr>
          <w:rFonts w:asciiTheme="minorEastAsia" w:hAnsiTheme="minorEastAsia" w:eastAsiaTheme="minorEastAsia"/>
          <w:b/>
          <w:sz w:val="24"/>
        </w:rPr>
        <w:t>9. 施工安全、治安保卫和环境保护</w:t>
      </w:r>
      <w:bookmarkEnd w:id="153"/>
      <w:bookmarkEnd w:id="154"/>
    </w:p>
    <w:p>
      <w:pPr>
        <w:rPr>
          <w:rFonts w:asciiTheme="minorEastAsia" w:hAnsiTheme="minorEastAsia" w:eastAsiaTheme="minorEastAsia"/>
          <w:b/>
          <w:sz w:val="24"/>
        </w:rPr>
      </w:pPr>
      <w:bookmarkStart w:id="155" w:name="_Toc234833030"/>
      <w:bookmarkStart w:id="156" w:name="_Toc9352818"/>
      <w:r>
        <w:rPr>
          <w:rFonts w:asciiTheme="minorEastAsia" w:hAnsiTheme="minorEastAsia" w:eastAsiaTheme="minorEastAsia"/>
          <w:sz w:val="24"/>
        </w:rPr>
        <w:t>9.1 发包人的施工安全责任</w:t>
      </w:r>
      <w:bookmarkEnd w:id="155"/>
      <w:bookmarkEnd w:id="156"/>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9.1.1发包人应按合同约定履行安全职责，授权监理人按合同约定的安全工作内容监督、检查承包人安全工作的实施，组织承包人和有关单位进行安全检查。</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9.1.2发包人应对其现场机构雇佣的全部人员的工伤事故承担责任，但由于承包人原因造成发包人人员工伤的，应由承包人承担责任。</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9.1.3发包人应负责赔偿以下各种情况造成的第三者人身伤亡和财产损失：</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 xml:space="preserve">    （1）工程或工程的任何部分对土地的占用所造成的第三者财产损失；</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 xml:space="preserve">    （2）由于发包人原因在施工场地及其毗邻地带造成的第三者人身伤亡和财产损失。</w:t>
      </w:r>
    </w:p>
    <w:p>
      <w:pPr>
        <w:rPr>
          <w:rFonts w:asciiTheme="minorEastAsia" w:hAnsiTheme="minorEastAsia" w:eastAsiaTheme="minorEastAsia"/>
          <w:b/>
          <w:sz w:val="24"/>
        </w:rPr>
      </w:pPr>
      <w:bookmarkStart w:id="157" w:name="_Toc234833031"/>
      <w:bookmarkStart w:id="158" w:name="_Toc9352819"/>
      <w:r>
        <w:rPr>
          <w:rFonts w:asciiTheme="minorEastAsia" w:hAnsiTheme="minorEastAsia" w:eastAsiaTheme="minorEastAsia"/>
          <w:sz w:val="24"/>
        </w:rPr>
        <w:t>9.2 承包人的施工安全责任</w:t>
      </w:r>
      <w:bookmarkEnd w:id="157"/>
      <w:bookmarkEnd w:id="15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9.2.1 承包人应按合同约定履行安全职责,执行监理人有关安全工作的指示,并在专用合同条款约定的期限内，按合同约定的安全工作内容，编制施工安全措施计划报送监理人审批。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9.2.2 承包人应加强施工作业安全管理，特别应加强易燃、易爆材料、火工器材、有毒与腐蚀性材料和其他危险品的管理，以及对爆破作业和地下工程施工等危险作业的管理。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9.2.3 承包人应严格按照国家安全标准制定施工安全操作规程，配备必要的安全生产和劳动保护设施，加强对承包人人员的安全教育，并发放安全工作手册和劳动保护用具。</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9.2.4 承包人应按监理人的指示制定应对灾害的紧急预案，报送监理人审批。承包人还应按预案做好安全检查，配置必要的救助物资和器材，切实保护好有关人员的人身和财产安全。</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9.2.5 合同约定的安全作业环境及安全施工措施所需费用应遵守有关规定，并包括在相关工作的合同价格中。因采取合同未约定的安全作业环境及安全施工措施增加的费用，由监理人按第3.5款商定或确定。</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9.2.6 承包人应对其履行合同所雇佣的全部人员，包括分包人人员的工伤事故承担责任，但由于发包人原因造成承包人人员工伤事故的，应由发包人承担责任。</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9.2.7 由于承包人原因在施工场地内及其毗邻地带造成的第三者人员伤亡和财产损失，由承包人负责赔偿。</w:t>
      </w:r>
    </w:p>
    <w:p>
      <w:pPr>
        <w:rPr>
          <w:rFonts w:asciiTheme="minorEastAsia" w:hAnsiTheme="minorEastAsia" w:eastAsiaTheme="minorEastAsia"/>
          <w:b/>
          <w:sz w:val="24"/>
        </w:rPr>
      </w:pPr>
      <w:bookmarkStart w:id="159" w:name="_Toc234833032"/>
      <w:bookmarkStart w:id="160" w:name="_Toc9352820"/>
      <w:r>
        <w:rPr>
          <w:rFonts w:asciiTheme="minorEastAsia" w:hAnsiTheme="minorEastAsia" w:eastAsiaTheme="minorEastAsia"/>
          <w:sz w:val="24"/>
        </w:rPr>
        <w:t>9.3 治安保卫</w:t>
      </w:r>
      <w:bookmarkEnd w:id="159"/>
      <w:bookmarkEnd w:id="16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9.3.1 除合同另有约定外，发包人应与当地公安部门协商，在现场建立治安管理机构或联防组织，统一管理施工场地的治安保卫事项，履行合同工程的治安保卫职责。</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9.3.2 发包人和承包人除应协助现场治安管理机构或联防组织维护施工场地的社会治安外，还应做好包括生活区在内的各自管辖区的治安保卫工作。</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pPr>
        <w:rPr>
          <w:rFonts w:asciiTheme="minorEastAsia" w:hAnsiTheme="minorEastAsia" w:eastAsiaTheme="minorEastAsia"/>
          <w:b/>
          <w:sz w:val="24"/>
        </w:rPr>
      </w:pPr>
      <w:bookmarkStart w:id="161" w:name="_Toc234833033"/>
      <w:bookmarkStart w:id="162" w:name="_Toc9352821"/>
      <w:r>
        <w:rPr>
          <w:rFonts w:asciiTheme="minorEastAsia" w:hAnsiTheme="minorEastAsia" w:eastAsiaTheme="minorEastAsia"/>
          <w:sz w:val="24"/>
        </w:rPr>
        <w:t>9.4 环境保护</w:t>
      </w:r>
      <w:bookmarkEnd w:id="161"/>
      <w:bookmarkEnd w:id="16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9.4.1 承包人在施工过程中，应遵守有关环境保护的法律，履行合同约定的环境保护义务，并对违反法律和合同约定义务所造成的环境破坏、人身伤害和财产损失负责。</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9.4.2 承包人应按合同约定的环保工作内容，编制施工环保措施计划，报送监理人审批。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9.4.4 承包人应按合同约定采取有效措施，对施工开挖的边坡及时进行支护,维护排水设施，并进行水土保护，避免因施工造成的地质灾害。</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9.4.5 承包人应按国家饮用水管理标准定期对饮用水源进行监测，防止施工活动污染饮用水源。</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9.4.6 承包人应按合同约定，加强对噪声、粉尘、废气、废水和废油的控制，努力降低噪声，控制粉尘和废气浓度，做好废水和废油的治理和排放。</w:t>
      </w:r>
    </w:p>
    <w:p>
      <w:pPr>
        <w:rPr>
          <w:rFonts w:asciiTheme="minorEastAsia" w:hAnsiTheme="minorEastAsia" w:eastAsiaTheme="minorEastAsia"/>
          <w:b/>
          <w:sz w:val="24"/>
        </w:rPr>
      </w:pPr>
      <w:bookmarkStart w:id="163" w:name="_Toc234833034"/>
      <w:bookmarkStart w:id="164" w:name="_Toc9352822"/>
      <w:r>
        <w:rPr>
          <w:rFonts w:asciiTheme="minorEastAsia" w:hAnsiTheme="minorEastAsia" w:eastAsiaTheme="minorEastAsia"/>
          <w:sz w:val="24"/>
        </w:rPr>
        <w:t>9.5 事故处理</w:t>
      </w:r>
      <w:bookmarkEnd w:id="163"/>
      <w:bookmarkEnd w:id="16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rPr>
          <w:rFonts w:asciiTheme="minorEastAsia" w:hAnsiTheme="minorEastAsia" w:eastAsiaTheme="minorEastAsia"/>
          <w:b/>
          <w:sz w:val="24"/>
        </w:rPr>
      </w:pPr>
      <w:bookmarkStart w:id="165" w:name="_Toc234833035"/>
      <w:bookmarkStart w:id="166" w:name="_Toc9352823"/>
      <w:r>
        <w:rPr>
          <w:rFonts w:asciiTheme="minorEastAsia" w:hAnsiTheme="minorEastAsia" w:eastAsiaTheme="minorEastAsia"/>
          <w:b/>
          <w:sz w:val="24"/>
        </w:rPr>
        <w:t>10. 进度计划</w:t>
      </w:r>
      <w:bookmarkEnd w:id="165"/>
      <w:bookmarkEnd w:id="166"/>
    </w:p>
    <w:p>
      <w:pPr>
        <w:rPr>
          <w:rFonts w:asciiTheme="minorEastAsia" w:hAnsiTheme="minorEastAsia" w:eastAsiaTheme="minorEastAsia"/>
          <w:b/>
          <w:sz w:val="24"/>
        </w:rPr>
      </w:pPr>
      <w:bookmarkStart w:id="167" w:name="_Toc234833036"/>
      <w:bookmarkStart w:id="168" w:name="_Toc9352824"/>
      <w:r>
        <w:rPr>
          <w:rFonts w:asciiTheme="minorEastAsia" w:hAnsiTheme="minorEastAsia" w:eastAsiaTheme="minorEastAsia"/>
          <w:sz w:val="24"/>
        </w:rPr>
        <w:t>10.1 合同进度计划</w:t>
      </w:r>
      <w:bookmarkEnd w:id="167"/>
      <w:bookmarkEnd w:id="16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按专用合同条款约定的内容和期限，编制详细的施工进度计划和施工方案说明报送监理人。监理人应在专用合同条款约定的期限内批复或提出修改意见，否则该进度计划视为已得到批准。经监理人批准的施工进度计划称合同进度计划，是控制合同工程进度的依据。承包人还应根据合同进度计划，编制更为详细的分阶段或分项进度计划，报监理人审批。</w:t>
      </w:r>
    </w:p>
    <w:p>
      <w:pPr>
        <w:rPr>
          <w:rFonts w:asciiTheme="minorEastAsia" w:hAnsiTheme="minorEastAsia" w:eastAsiaTheme="minorEastAsia"/>
          <w:b/>
          <w:sz w:val="24"/>
        </w:rPr>
      </w:pPr>
      <w:bookmarkStart w:id="169" w:name="_Toc234833037"/>
      <w:bookmarkStart w:id="170" w:name="_Toc9352825"/>
      <w:r>
        <w:rPr>
          <w:rFonts w:asciiTheme="minorEastAsia" w:hAnsiTheme="minorEastAsia" w:eastAsiaTheme="minorEastAsia"/>
          <w:sz w:val="24"/>
        </w:rPr>
        <w:t>10.2 合同进度计划的修订</w:t>
      </w:r>
      <w:bookmarkEnd w:id="169"/>
      <w:bookmarkEnd w:id="170"/>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不论何种原因造成工程的实际进度与第10.1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监理人在批复前应获得发包人同意。</w:t>
      </w:r>
    </w:p>
    <w:p>
      <w:pPr>
        <w:rPr>
          <w:b/>
        </w:rPr>
      </w:pPr>
      <w:bookmarkStart w:id="171" w:name="_Toc234833038"/>
      <w:bookmarkStart w:id="172" w:name="_Toc9352826"/>
      <w:r>
        <w:rPr>
          <w:b/>
        </w:rPr>
        <w:t>11. 开工和竣工</w:t>
      </w:r>
      <w:bookmarkEnd w:id="171"/>
      <w:bookmarkEnd w:id="172"/>
    </w:p>
    <w:p>
      <w:pPr>
        <w:rPr>
          <w:rFonts w:asciiTheme="minorEastAsia" w:hAnsiTheme="minorEastAsia" w:eastAsiaTheme="minorEastAsia"/>
          <w:b/>
          <w:sz w:val="24"/>
        </w:rPr>
      </w:pPr>
      <w:bookmarkStart w:id="173" w:name="_Toc234833039"/>
      <w:bookmarkStart w:id="174" w:name="_Toc9352827"/>
      <w:r>
        <w:rPr>
          <w:rFonts w:asciiTheme="minorEastAsia" w:hAnsiTheme="minorEastAsia" w:eastAsiaTheme="minorEastAsia"/>
          <w:sz w:val="24"/>
        </w:rPr>
        <w:t>11.1 开工</w:t>
      </w:r>
      <w:bookmarkEnd w:id="173"/>
      <w:bookmarkEnd w:id="17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11.1.1 监理人应在开工日期7天前向承包人发出开工通知。监理人在发出开工通知前应获得发包人同意。工期自监理人发出的开工通知中载明的开工日期起计算。承包人应在开工日期后尽快施工。</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pPr>
        <w:rPr>
          <w:rFonts w:asciiTheme="minorEastAsia" w:hAnsiTheme="minorEastAsia" w:eastAsiaTheme="minorEastAsia"/>
          <w:b/>
          <w:sz w:val="24"/>
        </w:rPr>
      </w:pPr>
      <w:bookmarkStart w:id="175" w:name="_Toc234833040"/>
      <w:bookmarkStart w:id="176" w:name="_Toc9352828"/>
      <w:r>
        <w:rPr>
          <w:rFonts w:asciiTheme="minorEastAsia" w:hAnsiTheme="minorEastAsia" w:eastAsiaTheme="minorEastAsia"/>
          <w:sz w:val="24"/>
        </w:rPr>
        <w:t>11.2</w:t>
      </w:r>
      <w:r>
        <w:rPr>
          <w:rFonts w:asciiTheme="minorEastAsia" w:hAnsiTheme="minorEastAsia" w:eastAsiaTheme="minorEastAsia"/>
          <w:sz w:val="24"/>
        </w:rPr>
        <w:tab/>
      </w:r>
      <w:r>
        <w:rPr>
          <w:rFonts w:asciiTheme="minorEastAsia" w:hAnsiTheme="minorEastAsia" w:eastAsiaTheme="minorEastAsia"/>
          <w:sz w:val="24"/>
        </w:rPr>
        <w:t xml:space="preserve"> 竣工</w:t>
      </w:r>
      <w:bookmarkEnd w:id="175"/>
      <w:bookmarkEnd w:id="17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承包人应在第1.1.4.3目约定的期限内完成合同工程。实际竣工日期在接收证书中写明。</w:t>
      </w:r>
    </w:p>
    <w:p>
      <w:pPr>
        <w:rPr>
          <w:rFonts w:asciiTheme="minorEastAsia" w:hAnsiTheme="minorEastAsia" w:eastAsiaTheme="minorEastAsia"/>
          <w:b/>
          <w:sz w:val="24"/>
        </w:rPr>
      </w:pPr>
      <w:bookmarkStart w:id="177" w:name="_Toc234833041"/>
      <w:bookmarkStart w:id="178" w:name="_Toc9352829"/>
      <w:r>
        <w:rPr>
          <w:rFonts w:asciiTheme="minorEastAsia" w:hAnsiTheme="minorEastAsia" w:eastAsiaTheme="minorEastAsia"/>
          <w:sz w:val="24"/>
        </w:rPr>
        <w:t>11.3 发包人的工期延误</w:t>
      </w:r>
      <w:bookmarkEnd w:id="177"/>
      <w:bookmarkEnd w:id="17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在履行合同过程中，由于发包人的下列原因造成工期延误的，承包人有权要求发包人延长工期和（或）增加费用，并支付合理利润。需要修订合同进度计划的，按照第10.2款的约定办理。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（1）增加合同工作内容;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（2）改变合同中任何一项工作的质量要求或其他特性；</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（3）发包人迟延提供材料、工程设备或变更交货地点的；</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（4）因发包人原因导致的暂停施工；</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（5）提供图纸延误；</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（6）未按合同约定及时支付预付款、进度款；</w:t>
      </w:r>
    </w:p>
    <w:p>
      <w:pPr>
        <w:spacing w:line="400" w:lineRule="atLeast"/>
        <w:ind w:firstLine="480" w:firstLineChars="200"/>
        <w:rPr>
          <w:sz w:val="24"/>
        </w:rPr>
      </w:pPr>
      <w:r>
        <w:rPr>
          <w:rFonts w:asciiTheme="minorEastAsia" w:hAnsiTheme="minorEastAsia" w:eastAsiaTheme="minorEastAsia"/>
          <w:sz w:val="24"/>
        </w:rPr>
        <w:t>（7）发包人造成工期延误的其他原因。</w:t>
      </w:r>
    </w:p>
    <w:p>
      <w:pPr>
        <w:rPr>
          <w:rFonts w:asciiTheme="minorEastAsia" w:hAnsiTheme="minorEastAsia" w:eastAsiaTheme="minorEastAsia"/>
          <w:b/>
          <w:sz w:val="24"/>
        </w:rPr>
      </w:pPr>
      <w:bookmarkStart w:id="179" w:name="_Toc9352830"/>
      <w:bookmarkStart w:id="180" w:name="_Toc234833042"/>
      <w:r>
        <w:rPr>
          <w:rFonts w:asciiTheme="minorEastAsia" w:hAnsiTheme="minorEastAsia" w:eastAsiaTheme="minorEastAsia"/>
          <w:sz w:val="24"/>
        </w:rPr>
        <w:t>11.4异常恶劣的气候条件</w:t>
      </w:r>
      <w:bookmarkEnd w:id="179"/>
      <w:bookmarkEnd w:id="180"/>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由于出现专用合同条款</w:t>
      </w:r>
      <w:r>
        <w:rPr>
          <w:rFonts w:hint="eastAsia" w:asciiTheme="minorEastAsia" w:hAnsiTheme="minorEastAsia" w:eastAsiaTheme="minorEastAsia"/>
          <w:sz w:val="24"/>
        </w:rPr>
        <w:t>约定</w:t>
      </w:r>
      <w:r>
        <w:rPr>
          <w:rFonts w:asciiTheme="minorEastAsia" w:hAnsiTheme="minorEastAsia" w:eastAsiaTheme="minorEastAsia"/>
          <w:sz w:val="24"/>
        </w:rPr>
        <w:t>的异常恶劣气候的条件导致工期延误的，承包人有权要求发包人延长工期。</w:t>
      </w:r>
    </w:p>
    <w:p>
      <w:pPr>
        <w:rPr>
          <w:rFonts w:asciiTheme="minorEastAsia" w:hAnsiTheme="minorEastAsia" w:eastAsiaTheme="minorEastAsia"/>
          <w:b/>
          <w:sz w:val="24"/>
        </w:rPr>
      </w:pPr>
      <w:bookmarkStart w:id="181" w:name="_Toc234833043"/>
      <w:bookmarkStart w:id="182" w:name="_Toc9352831"/>
      <w:r>
        <w:rPr>
          <w:rFonts w:asciiTheme="minorEastAsia" w:hAnsiTheme="minorEastAsia" w:eastAsiaTheme="minorEastAsia"/>
          <w:sz w:val="24"/>
        </w:rPr>
        <w:t>11.5 承包人的工期延误</w:t>
      </w:r>
      <w:bookmarkEnd w:id="181"/>
      <w:bookmarkEnd w:id="18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pPr>
        <w:rPr>
          <w:rFonts w:asciiTheme="minorEastAsia" w:hAnsiTheme="minorEastAsia" w:eastAsiaTheme="minorEastAsia"/>
          <w:b/>
          <w:sz w:val="24"/>
        </w:rPr>
      </w:pPr>
      <w:bookmarkStart w:id="183" w:name="_Toc234833044"/>
      <w:bookmarkStart w:id="184" w:name="_Toc9352832"/>
      <w:r>
        <w:rPr>
          <w:rFonts w:asciiTheme="minorEastAsia" w:hAnsiTheme="minorEastAsia" w:eastAsiaTheme="minorEastAsia"/>
          <w:sz w:val="24"/>
        </w:rPr>
        <w:t>11.6 工期提前</w:t>
      </w:r>
      <w:bookmarkEnd w:id="183"/>
      <w:bookmarkEnd w:id="18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 </w:t>
      </w:r>
    </w:p>
    <w:p>
      <w:pPr>
        <w:rPr>
          <w:rFonts w:asciiTheme="minorEastAsia" w:hAnsiTheme="minorEastAsia" w:eastAsiaTheme="minorEastAsia"/>
          <w:b/>
          <w:sz w:val="24"/>
        </w:rPr>
      </w:pPr>
      <w:bookmarkStart w:id="185" w:name="_Toc234833045"/>
      <w:bookmarkStart w:id="186" w:name="_Toc9352833"/>
      <w:r>
        <w:rPr>
          <w:rFonts w:asciiTheme="minorEastAsia" w:hAnsiTheme="minorEastAsia" w:eastAsiaTheme="minorEastAsia"/>
          <w:b/>
          <w:sz w:val="24"/>
        </w:rPr>
        <w:t>12. 暂停施工</w:t>
      </w:r>
      <w:bookmarkEnd w:id="185"/>
      <w:bookmarkEnd w:id="186"/>
    </w:p>
    <w:p>
      <w:pPr>
        <w:rPr>
          <w:rFonts w:asciiTheme="minorEastAsia" w:hAnsiTheme="minorEastAsia" w:eastAsiaTheme="minorEastAsia"/>
          <w:b/>
          <w:sz w:val="24"/>
        </w:rPr>
      </w:pPr>
      <w:bookmarkStart w:id="187" w:name="_Toc234833046"/>
      <w:bookmarkStart w:id="188" w:name="_Toc9352834"/>
      <w:r>
        <w:rPr>
          <w:rFonts w:asciiTheme="minorEastAsia" w:hAnsiTheme="minorEastAsia" w:eastAsiaTheme="minorEastAsia"/>
          <w:sz w:val="24"/>
        </w:rPr>
        <w:t>12.1 承包人暂停施工的责任</w:t>
      </w:r>
      <w:bookmarkEnd w:id="187"/>
      <w:bookmarkEnd w:id="18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因下列暂停施工增加的费用和（或）工期延误由承包人承担：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（1）承包人违约引起的暂停施工；</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（2）由于承包人原因为工程合理施工和安全保障所必需的暂停施工；</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（3）承包人擅自暂停施工；</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（4）承包人其他原因引起的暂停施工；</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（5）专用合同条款约定由承包人承担的其他暂停施工。</w:t>
      </w:r>
    </w:p>
    <w:p>
      <w:pPr>
        <w:rPr>
          <w:rFonts w:asciiTheme="minorEastAsia" w:hAnsiTheme="minorEastAsia" w:eastAsiaTheme="minorEastAsia"/>
          <w:b/>
          <w:sz w:val="24"/>
        </w:rPr>
      </w:pPr>
      <w:bookmarkStart w:id="189" w:name="_Toc234833047"/>
      <w:bookmarkStart w:id="190" w:name="_Toc9352835"/>
      <w:r>
        <w:rPr>
          <w:rFonts w:asciiTheme="minorEastAsia" w:hAnsiTheme="minorEastAsia" w:eastAsiaTheme="minorEastAsia"/>
          <w:sz w:val="24"/>
        </w:rPr>
        <w:t>12.2 发包人暂停施工的责任</w:t>
      </w:r>
      <w:bookmarkEnd w:id="189"/>
      <w:bookmarkEnd w:id="19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由于发包人原因引起的暂停施工造成工期延误的，承包人有权要求发包人延长工期和（或）增加费用，并支付合理利润。</w:t>
      </w:r>
    </w:p>
    <w:p>
      <w:pPr>
        <w:rPr>
          <w:rFonts w:asciiTheme="minorEastAsia" w:hAnsiTheme="minorEastAsia" w:eastAsiaTheme="minorEastAsia"/>
          <w:b/>
          <w:sz w:val="24"/>
        </w:rPr>
      </w:pPr>
      <w:bookmarkStart w:id="191" w:name="_Toc234833048"/>
      <w:bookmarkStart w:id="192" w:name="_Toc9352836"/>
      <w:r>
        <w:rPr>
          <w:rFonts w:asciiTheme="minorEastAsia" w:hAnsiTheme="minorEastAsia" w:eastAsiaTheme="minorEastAsia"/>
          <w:sz w:val="24"/>
        </w:rPr>
        <w:t>12.3 监理人暂停施工指示</w:t>
      </w:r>
      <w:bookmarkEnd w:id="191"/>
      <w:bookmarkEnd w:id="19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12.3.1 监理人认为有必要时，可向承包人作出暂停施工的指示，承包人应按监理人指示暂停施工。不论由于何种原因引起的暂停施工，暂停施工期间承包人应负责妥善保护工程并提供安全保障。</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pPr>
        <w:rPr>
          <w:rFonts w:asciiTheme="minorEastAsia" w:hAnsiTheme="minorEastAsia" w:eastAsiaTheme="minorEastAsia"/>
          <w:b/>
          <w:sz w:val="24"/>
        </w:rPr>
      </w:pPr>
      <w:bookmarkStart w:id="193" w:name="_Toc234833049"/>
      <w:bookmarkStart w:id="194" w:name="_Toc9352837"/>
      <w:r>
        <w:rPr>
          <w:rFonts w:asciiTheme="minorEastAsia" w:hAnsiTheme="minorEastAsia" w:eastAsiaTheme="minorEastAsia"/>
          <w:sz w:val="24"/>
        </w:rPr>
        <w:t>12.4 暂停施工后的复工</w:t>
      </w:r>
      <w:bookmarkEnd w:id="193"/>
      <w:bookmarkEnd w:id="19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12.4.1暂停施工后，监理人应与发包人和承包人协商，采取有效措施积极消除暂停施工的影响。当工程具备复工条件时，监理人应立即向承包人发出复工通知。承包人收到复工通知后，应在监理人指定的期限内复工。</w:t>
      </w:r>
    </w:p>
    <w:p>
      <w:pPr>
        <w:spacing w:line="400" w:lineRule="atLeast"/>
        <w:ind w:firstLine="480" w:firstLineChars="200"/>
        <w:rPr>
          <w:sz w:val="24"/>
        </w:rPr>
      </w:pPr>
      <w:r>
        <w:rPr>
          <w:rFonts w:asciiTheme="minorEastAsia" w:hAnsiTheme="minorEastAsia" w:eastAsiaTheme="minorEastAsia"/>
          <w:sz w:val="24"/>
        </w:rPr>
        <w:t>12.4.2承包人无故拖延和拒绝复工的，由此增加的费用和工期延误由承包人承担；因发包人原因无法按时复工的，承包人有权要求发包人延长工期和（或）增加费用，并支付合理利润</w:t>
      </w:r>
      <w:r>
        <w:rPr>
          <w:sz w:val="24"/>
        </w:rPr>
        <w:t>。</w:t>
      </w:r>
    </w:p>
    <w:p>
      <w:pPr>
        <w:rPr>
          <w:rFonts w:asciiTheme="minorEastAsia" w:hAnsiTheme="minorEastAsia" w:eastAsiaTheme="minorEastAsia"/>
          <w:b/>
          <w:sz w:val="24"/>
        </w:rPr>
      </w:pPr>
      <w:bookmarkStart w:id="195" w:name="_Toc234833050"/>
      <w:bookmarkStart w:id="196" w:name="_Toc9352838"/>
      <w:r>
        <w:rPr>
          <w:rFonts w:asciiTheme="minorEastAsia" w:hAnsiTheme="minorEastAsia" w:eastAsiaTheme="minorEastAsia"/>
          <w:sz w:val="24"/>
        </w:rPr>
        <w:t>12.5 暂停施工持续56天以上</w:t>
      </w:r>
      <w:bookmarkEnd w:id="195"/>
      <w:bookmarkEnd w:id="19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12.5.1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款的</w:t>
      </w:r>
      <w:r>
        <w:rPr>
          <w:rFonts w:hint="eastAsia" w:asciiTheme="minorEastAsia" w:hAnsiTheme="minorEastAsia" w:eastAsiaTheme="minorEastAsia"/>
          <w:sz w:val="24"/>
        </w:rPr>
        <w:t>约定</w:t>
      </w:r>
      <w:r>
        <w:rPr>
          <w:rFonts w:asciiTheme="minorEastAsia" w:hAnsiTheme="minorEastAsia" w:eastAsiaTheme="minorEastAsia"/>
          <w:sz w:val="24"/>
        </w:rPr>
        <w:t>办理。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12.5.2由于承包人责任引起的暂停施工，如承包人在收到监理人暂停施工指示后56天内不认真采取有效的复工措施，造成工期延误，可视为承包人违约，应按第22.1款的</w:t>
      </w:r>
      <w:r>
        <w:rPr>
          <w:rFonts w:hint="eastAsia" w:asciiTheme="minorEastAsia" w:hAnsiTheme="minorEastAsia" w:eastAsiaTheme="minorEastAsia"/>
          <w:sz w:val="24"/>
        </w:rPr>
        <w:t>约定</w:t>
      </w:r>
      <w:r>
        <w:rPr>
          <w:rFonts w:asciiTheme="minorEastAsia" w:hAnsiTheme="minorEastAsia" w:eastAsiaTheme="minorEastAsia"/>
          <w:sz w:val="24"/>
        </w:rPr>
        <w:t>办理。</w:t>
      </w:r>
    </w:p>
    <w:p>
      <w:pPr>
        <w:rPr>
          <w:rFonts w:asciiTheme="minorEastAsia" w:hAnsiTheme="minorEastAsia" w:eastAsiaTheme="minorEastAsia"/>
          <w:b/>
          <w:sz w:val="24"/>
        </w:rPr>
      </w:pPr>
      <w:bookmarkStart w:id="197" w:name="_Toc234833051"/>
      <w:bookmarkStart w:id="198" w:name="_Toc9352839"/>
      <w:r>
        <w:rPr>
          <w:rFonts w:asciiTheme="minorEastAsia" w:hAnsiTheme="minorEastAsia" w:eastAsiaTheme="minorEastAsia"/>
          <w:b/>
          <w:sz w:val="24"/>
        </w:rPr>
        <w:t>13. 工程质量</w:t>
      </w:r>
      <w:bookmarkEnd w:id="197"/>
      <w:bookmarkEnd w:id="198"/>
    </w:p>
    <w:p>
      <w:pPr>
        <w:rPr>
          <w:rFonts w:asciiTheme="minorEastAsia" w:hAnsiTheme="minorEastAsia" w:eastAsiaTheme="minorEastAsia"/>
          <w:b/>
          <w:sz w:val="24"/>
        </w:rPr>
      </w:pPr>
      <w:bookmarkStart w:id="199" w:name="_Toc234833052"/>
      <w:bookmarkStart w:id="200" w:name="_Toc9352840"/>
      <w:r>
        <w:rPr>
          <w:rFonts w:asciiTheme="minorEastAsia" w:hAnsiTheme="minorEastAsia" w:eastAsiaTheme="minorEastAsia"/>
          <w:sz w:val="24"/>
        </w:rPr>
        <w:t>13.1 工程质量要求</w:t>
      </w:r>
      <w:bookmarkEnd w:id="199"/>
      <w:bookmarkEnd w:id="20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13.1.1 工程质量验收按合同约定验收标准执行。</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13.1.2 因承包人原因造成工程质量达不到合同约定验收标准的，监理人有权要求承包人返工直至符合合同要求为止，由此造成的费用增加和（或）工期延误由承包人承担。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13.1.3 因发包人原因造成工程质量达不到合同约定验收标准的，发包人应承担由于承包人返工造成的费用增加和（或）工期延误，并支付承包人合理利润。</w:t>
      </w:r>
    </w:p>
    <w:p>
      <w:pPr>
        <w:rPr>
          <w:rFonts w:asciiTheme="minorEastAsia" w:hAnsiTheme="minorEastAsia" w:eastAsiaTheme="minorEastAsia"/>
          <w:b/>
          <w:sz w:val="24"/>
        </w:rPr>
      </w:pPr>
      <w:bookmarkStart w:id="201" w:name="_Toc234833053"/>
      <w:bookmarkStart w:id="202" w:name="_Toc9352841"/>
      <w:r>
        <w:rPr>
          <w:rFonts w:asciiTheme="minorEastAsia" w:hAnsiTheme="minorEastAsia" w:eastAsiaTheme="minorEastAsia"/>
          <w:sz w:val="24"/>
        </w:rPr>
        <w:t>13.2 承包人的质量管理</w:t>
      </w:r>
      <w:bookmarkEnd w:id="201"/>
      <w:bookmarkEnd w:id="20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13.2.1 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13.2.2 承包人应加强对施工人员的质量教育和技术培训，定期考核施工人员的劳动技能，严格执行规范和操作规程。</w:t>
      </w:r>
    </w:p>
    <w:p>
      <w:pPr>
        <w:rPr>
          <w:rFonts w:asciiTheme="minorEastAsia" w:hAnsiTheme="minorEastAsia" w:eastAsiaTheme="minorEastAsia"/>
          <w:b/>
          <w:sz w:val="24"/>
        </w:rPr>
      </w:pPr>
      <w:bookmarkStart w:id="203" w:name="_Toc234833054"/>
      <w:bookmarkStart w:id="204" w:name="_Toc9352842"/>
      <w:r>
        <w:rPr>
          <w:rFonts w:asciiTheme="minorEastAsia" w:hAnsiTheme="minorEastAsia" w:eastAsiaTheme="minorEastAsia"/>
          <w:sz w:val="24"/>
        </w:rPr>
        <w:t>13.3 承包人的质量检查</w:t>
      </w:r>
      <w:bookmarkEnd w:id="203"/>
      <w:bookmarkEnd w:id="20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承包人应按合同约定对材料、工程设备以及工程的所有部位及其施工工艺进行全过程的质量检查和检验，并作详细记录，编制工程质量报表，报送监理人审查。</w:t>
      </w:r>
    </w:p>
    <w:p>
      <w:pPr>
        <w:rPr>
          <w:rFonts w:asciiTheme="minorEastAsia" w:hAnsiTheme="minorEastAsia" w:eastAsiaTheme="minorEastAsia"/>
          <w:b/>
          <w:sz w:val="24"/>
        </w:rPr>
      </w:pPr>
      <w:bookmarkStart w:id="205" w:name="_Toc234833055"/>
      <w:bookmarkStart w:id="206" w:name="_Toc9352843"/>
      <w:r>
        <w:rPr>
          <w:rFonts w:asciiTheme="minorEastAsia" w:hAnsiTheme="minorEastAsia" w:eastAsiaTheme="minorEastAsia"/>
          <w:sz w:val="24"/>
        </w:rPr>
        <w:t>13.4 监理人的质量检查</w:t>
      </w:r>
      <w:bookmarkEnd w:id="205"/>
      <w:bookmarkEnd w:id="20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pPr>
        <w:rPr>
          <w:rFonts w:asciiTheme="minorEastAsia" w:hAnsiTheme="minorEastAsia" w:eastAsiaTheme="minorEastAsia"/>
          <w:b/>
          <w:sz w:val="24"/>
        </w:rPr>
      </w:pPr>
      <w:bookmarkStart w:id="207" w:name="_Toc234833056"/>
      <w:bookmarkStart w:id="208" w:name="_Toc9352844"/>
      <w:r>
        <w:rPr>
          <w:rFonts w:asciiTheme="minorEastAsia" w:hAnsiTheme="minorEastAsia" w:eastAsiaTheme="minorEastAsia"/>
          <w:sz w:val="24"/>
        </w:rPr>
        <w:t>13.5 工程隐蔽部位覆盖前的检查</w:t>
      </w:r>
      <w:bookmarkEnd w:id="207"/>
      <w:bookmarkEnd w:id="208"/>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 xml:space="preserve">13.5.1 通知监理人检查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13.5.2 监理人未到场检查</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监理人未按第13.5.1项约定的时间进行检查的，除监理人另有指示外，承包人可自行完成覆盖工作，并作相应记录报送监理人，监理人应签字确认。监理人事后对检查记录有疑问的，可按第13.5.3项的约定重新检查。</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13.5.3 监理人重新检查</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按第13.5.1项或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13.5.4 承包人私自覆盖</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承包人未通知监理人到场检查，私自将工程隐蔽部位覆盖的，监理人有权指示承包人钻孔探测或揭开检查，由此增加的费用和（或）工期延误由承包人承担。</w:t>
      </w:r>
    </w:p>
    <w:p>
      <w:pPr>
        <w:rPr>
          <w:rFonts w:asciiTheme="minorEastAsia" w:hAnsiTheme="minorEastAsia" w:eastAsiaTheme="minorEastAsia"/>
          <w:b/>
          <w:sz w:val="24"/>
        </w:rPr>
      </w:pPr>
      <w:bookmarkStart w:id="209" w:name="_Toc234833057"/>
      <w:bookmarkStart w:id="210" w:name="_Toc9352845"/>
      <w:r>
        <w:rPr>
          <w:rFonts w:asciiTheme="minorEastAsia" w:hAnsiTheme="minorEastAsia" w:eastAsiaTheme="minorEastAsia"/>
          <w:sz w:val="24"/>
        </w:rPr>
        <w:t>13.6 清除不合格工程</w:t>
      </w:r>
      <w:bookmarkEnd w:id="209"/>
      <w:bookmarkEnd w:id="21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13.6.1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13.6.2由于发包人提供的材料或工程设备不合格造成的工程不合格，需要承包人采取措施补救的，发包人应承担由此增加的费用和（或）工期延误，并支付承包人合理利润。</w:t>
      </w:r>
    </w:p>
    <w:p>
      <w:pPr>
        <w:rPr>
          <w:rFonts w:asciiTheme="minorEastAsia" w:hAnsiTheme="minorEastAsia" w:eastAsiaTheme="minorEastAsia"/>
          <w:b/>
          <w:sz w:val="24"/>
        </w:rPr>
      </w:pPr>
      <w:bookmarkStart w:id="211" w:name="_Toc234833058"/>
      <w:bookmarkStart w:id="212" w:name="_Toc9352846"/>
      <w:r>
        <w:rPr>
          <w:rFonts w:asciiTheme="minorEastAsia" w:hAnsiTheme="minorEastAsia" w:eastAsiaTheme="minorEastAsia"/>
          <w:b/>
          <w:sz w:val="24"/>
        </w:rPr>
        <w:t>14. 试验和检验</w:t>
      </w:r>
      <w:bookmarkEnd w:id="211"/>
      <w:bookmarkEnd w:id="212"/>
    </w:p>
    <w:p>
      <w:pPr>
        <w:rPr>
          <w:rFonts w:asciiTheme="minorEastAsia" w:hAnsiTheme="minorEastAsia" w:eastAsiaTheme="minorEastAsia"/>
          <w:b/>
          <w:sz w:val="24"/>
        </w:rPr>
      </w:pPr>
      <w:bookmarkStart w:id="213" w:name="_Toc234833059"/>
      <w:bookmarkStart w:id="214" w:name="_Toc9352847"/>
      <w:r>
        <w:rPr>
          <w:rFonts w:asciiTheme="minorEastAsia" w:hAnsiTheme="minorEastAsia" w:eastAsiaTheme="minorEastAsia"/>
          <w:sz w:val="24"/>
        </w:rPr>
        <w:t>14.1 材料、工程设备和工程的试验和检验</w:t>
      </w:r>
      <w:bookmarkEnd w:id="213"/>
      <w:bookmarkEnd w:id="21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14.1.2 监理人未按合同约定派员参加试验和检验的，除监理人另有指示外，承包人可自行试验和检验，并应立即将试验和检验结果报送监理人，监理人应签字确认。</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rPr>
          <w:rFonts w:asciiTheme="minorEastAsia" w:hAnsiTheme="minorEastAsia" w:eastAsiaTheme="minorEastAsia"/>
          <w:b/>
          <w:sz w:val="24"/>
        </w:rPr>
      </w:pPr>
      <w:bookmarkStart w:id="215" w:name="_Toc234833060"/>
      <w:bookmarkStart w:id="216" w:name="_Toc9352848"/>
      <w:r>
        <w:rPr>
          <w:rFonts w:asciiTheme="minorEastAsia" w:hAnsiTheme="minorEastAsia" w:eastAsiaTheme="minorEastAsia"/>
          <w:sz w:val="24"/>
        </w:rPr>
        <w:t>14.2 现场材料试验</w:t>
      </w:r>
      <w:bookmarkEnd w:id="215"/>
      <w:bookmarkEnd w:id="21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14.2.1 承包人根据合同约定或监理人指示进行的现场材料试验，应由承包人提供试验场所、试验人员、试验设备器材以及其他必要的试验条件。</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14.2.2 监理人在必要时可以使用承包人的试验场所、试验设备器材以及其他试验条件，进行以工程质量检查为目的的复核性材料试验，承包人应予以协助。</w:t>
      </w:r>
    </w:p>
    <w:p>
      <w:pPr>
        <w:rPr>
          <w:rFonts w:asciiTheme="minorEastAsia" w:hAnsiTheme="minorEastAsia" w:eastAsiaTheme="minorEastAsia"/>
          <w:b/>
          <w:sz w:val="24"/>
        </w:rPr>
      </w:pPr>
      <w:bookmarkStart w:id="217" w:name="_Toc234833061"/>
      <w:bookmarkStart w:id="218" w:name="_Toc9352849"/>
      <w:r>
        <w:rPr>
          <w:rFonts w:asciiTheme="minorEastAsia" w:hAnsiTheme="minorEastAsia" w:eastAsiaTheme="minorEastAsia"/>
          <w:sz w:val="24"/>
        </w:rPr>
        <w:t>14.3 现场工艺试验</w:t>
      </w:r>
      <w:bookmarkEnd w:id="217"/>
      <w:bookmarkEnd w:id="21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承包人应按合同约定或监理人指示进行现场工艺试验。对大型的现场工艺试验，监理人认为必要时，应由承包人根据监理人提出的工艺试验要求，编制工艺试验措施计划，报送监理人审批。</w:t>
      </w:r>
    </w:p>
    <w:p>
      <w:pPr>
        <w:rPr>
          <w:rFonts w:asciiTheme="minorEastAsia" w:hAnsiTheme="minorEastAsia" w:eastAsiaTheme="minorEastAsia"/>
          <w:b/>
          <w:sz w:val="24"/>
        </w:rPr>
      </w:pPr>
      <w:bookmarkStart w:id="219" w:name="_Toc234833062"/>
      <w:bookmarkStart w:id="220" w:name="_Toc9352850"/>
      <w:r>
        <w:rPr>
          <w:rFonts w:asciiTheme="minorEastAsia" w:hAnsiTheme="minorEastAsia" w:eastAsiaTheme="minorEastAsia"/>
          <w:b/>
          <w:sz w:val="24"/>
        </w:rPr>
        <w:t>15. 变更</w:t>
      </w:r>
      <w:bookmarkEnd w:id="219"/>
      <w:bookmarkEnd w:id="220"/>
    </w:p>
    <w:p>
      <w:pPr>
        <w:rPr>
          <w:rFonts w:asciiTheme="minorEastAsia" w:hAnsiTheme="minorEastAsia" w:eastAsiaTheme="minorEastAsia"/>
          <w:b/>
          <w:sz w:val="24"/>
        </w:rPr>
      </w:pPr>
      <w:bookmarkStart w:id="221" w:name="_Toc234833063"/>
      <w:bookmarkStart w:id="222" w:name="_Toc9352851"/>
      <w:r>
        <w:rPr>
          <w:rFonts w:asciiTheme="minorEastAsia" w:hAnsiTheme="minorEastAsia" w:eastAsiaTheme="minorEastAsia"/>
          <w:sz w:val="24"/>
        </w:rPr>
        <w:t>15.1 变更的范围和内容</w:t>
      </w:r>
      <w:bookmarkEnd w:id="221"/>
      <w:bookmarkEnd w:id="22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除专用合同条款另有约定外，在履行合同中发生以下情形之一，应按照本条规定进行变更。</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（1）取消合同中任何一项工作，但被取消的工作不能转由发包人或其他人实施；</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（2）改变合同中任何一项工作的质量或其他特性；</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（3）改变合同工程的基线、标高、位置或尺寸；</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（4）改变合同中任何一项工作的施工时间或改变已批准的施工工艺或顺序；</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（5）为完成工程需要追加的额外工作。</w:t>
      </w:r>
    </w:p>
    <w:p>
      <w:pPr>
        <w:rPr>
          <w:rFonts w:asciiTheme="minorEastAsia" w:hAnsiTheme="minorEastAsia" w:eastAsiaTheme="minorEastAsia"/>
          <w:b/>
          <w:sz w:val="24"/>
        </w:rPr>
      </w:pPr>
      <w:bookmarkStart w:id="223" w:name="_Toc9352852"/>
      <w:bookmarkStart w:id="224" w:name="_Toc234833064"/>
      <w:r>
        <w:rPr>
          <w:rFonts w:asciiTheme="minorEastAsia" w:hAnsiTheme="minorEastAsia" w:eastAsiaTheme="minorEastAsia"/>
          <w:sz w:val="24"/>
        </w:rPr>
        <w:t>15.2 变更权</w:t>
      </w:r>
      <w:bookmarkEnd w:id="223"/>
      <w:bookmarkEnd w:id="22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在履行合同过程中，经发包人同意，监理人可按第15.3款约定的变更程序向承包人作出变更指示，承包人应遵照执行。没有监理人的变更指示，承包人不得擅自变更。</w:t>
      </w:r>
    </w:p>
    <w:p>
      <w:pPr>
        <w:rPr>
          <w:rFonts w:asciiTheme="minorEastAsia" w:hAnsiTheme="minorEastAsia" w:eastAsiaTheme="minorEastAsia"/>
          <w:b/>
          <w:sz w:val="24"/>
        </w:rPr>
      </w:pPr>
      <w:bookmarkStart w:id="225" w:name="_Toc9352853"/>
      <w:bookmarkStart w:id="226" w:name="_Toc234833065"/>
      <w:r>
        <w:rPr>
          <w:rFonts w:asciiTheme="minorEastAsia" w:hAnsiTheme="minorEastAsia" w:eastAsiaTheme="minorEastAsia"/>
          <w:sz w:val="24"/>
        </w:rPr>
        <w:t>15.3 变更程序</w:t>
      </w:r>
      <w:bookmarkEnd w:id="225"/>
      <w:bookmarkEnd w:id="226"/>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15.3.1 变更的提出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（2）在合同履行过程中，发生第15.1款约定情形的，监理人应按照第15.3.3项约定向承包人发出变更指示。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（4）若承包人收到监理人的变更意向书后认为难以实施此项变更，应立即通知监理人，说明原因并附详细依据。监理人与承包人和发包人协商后确定</w:t>
      </w:r>
      <w:r>
        <w:rPr>
          <w:rFonts w:hint="eastAsia" w:asciiTheme="minorEastAsia" w:hAnsiTheme="minorEastAsia" w:eastAsiaTheme="minorEastAsia"/>
          <w:sz w:val="24"/>
        </w:rPr>
        <w:t>撤销</w:t>
      </w:r>
      <w:r>
        <w:rPr>
          <w:rFonts w:asciiTheme="minorEastAsia" w:hAnsiTheme="minorEastAsia" w:eastAsiaTheme="minorEastAsia"/>
          <w:sz w:val="24"/>
        </w:rPr>
        <w:t>、改变或不改变原变更意向书。</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15.3.2 变更估价</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（2）变更工作影响工期的，承包人应提出调整工期的具体细节。监理人认为有必要时，可要求承包人提交要求提前或延长工期的施工进度计划及相应施工措施等详细资料。</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（3）除专用合同条款对期限另有约定外，监理人收到承包人变更报价书后的14天内，根据第15.4款约定的估价原则，按照第3.5款商定或确定变更价格。</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15.3.3 变更指示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（1）变更指示只能由监理人发出。</w:t>
      </w:r>
    </w:p>
    <w:p>
      <w:pPr>
        <w:spacing w:line="400" w:lineRule="atLeast"/>
        <w:ind w:firstLine="480" w:firstLineChars="200"/>
        <w:rPr>
          <w:sz w:val="24"/>
        </w:rPr>
      </w:pPr>
      <w:r>
        <w:rPr>
          <w:rFonts w:asciiTheme="minorEastAsia" w:hAnsiTheme="minorEastAsia" w:eastAsiaTheme="minorEastAsia"/>
          <w:sz w:val="24"/>
        </w:rPr>
        <w:t>（2）变更指示应说明变更的目的、范围、变更内容以及变更的工程量及其进度和技术要求，并附有关图纸和文件。承包人收到变更指示后，应按变更指示进行变更工作。</w:t>
      </w:r>
    </w:p>
    <w:p>
      <w:pPr>
        <w:rPr>
          <w:b/>
        </w:rPr>
      </w:pPr>
      <w:bookmarkStart w:id="227" w:name="_Toc9352854"/>
      <w:bookmarkStart w:id="228" w:name="_Toc234833066"/>
      <w:r>
        <w:t>15.4 变更的估价原则</w:t>
      </w:r>
      <w:bookmarkEnd w:id="227"/>
      <w:bookmarkEnd w:id="228"/>
      <w:r>
        <w:t xml:space="preserve"> </w:t>
      </w:r>
    </w:p>
    <w:p>
      <w:pPr>
        <w:spacing w:line="400" w:lineRule="atLeast"/>
        <w:rPr>
          <w:sz w:val="24"/>
        </w:rPr>
      </w:pPr>
      <w:r>
        <w:rPr>
          <w:sz w:val="24"/>
        </w:rPr>
        <w:t xml:space="preserve">    除专用合同条款另有约定外，因变更引起的价格调整按照本款约定处理。</w:t>
      </w:r>
    </w:p>
    <w:p>
      <w:pPr>
        <w:spacing w:line="400" w:lineRule="atLeast"/>
        <w:ind w:firstLine="480" w:firstLineChars="200"/>
        <w:rPr>
          <w:sz w:val="24"/>
        </w:rPr>
      </w:pPr>
      <w:r>
        <w:rPr>
          <w:sz w:val="24"/>
        </w:rPr>
        <w:t>15.4.1 已标价工程量清单中有适用于变更工作的子目的，采用该子目的单价。</w:t>
      </w:r>
    </w:p>
    <w:p>
      <w:pPr>
        <w:spacing w:line="400" w:lineRule="atLeast"/>
        <w:ind w:firstLine="480" w:firstLineChars="200"/>
        <w:rPr>
          <w:sz w:val="24"/>
        </w:rPr>
      </w:pPr>
      <w:r>
        <w:rPr>
          <w:sz w:val="24"/>
        </w:rPr>
        <w:t>15.4.2 已标价工程量清单中无适用于变更工作的子目，但有类似子目的，可在合理范围内参照类似子目的单价，由监理人按第3.5款商定或确定变更工作的单价。</w:t>
      </w:r>
    </w:p>
    <w:p>
      <w:pPr>
        <w:spacing w:line="400" w:lineRule="atLeast"/>
        <w:ind w:firstLine="480" w:firstLineChars="200"/>
        <w:rPr>
          <w:sz w:val="24"/>
        </w:rPr>
      </w:pPr>
      <w:r>
        <w:rPr>
          <w:sz w:val="24"/>
        </w:rPr>
        <w:t>15.4.3 已标价工程量清单中无适用或类似子目的单价，可按照成本加利润的原则，由监理人按第3.5款商定或确定变更工作的单价。</w:t>
      </w:r>
    </w:p>
    <w:p>
      <w:pPr>
        <w:rPr>
          <w:rFonts w:asciiTheme="minorEastAsia" w:hAnsiTheme="minorEastAsia" w:eastAsiaTheme="minorEastAsia"/>
          <w:b/>
          <w:sz w:val="24"/>
        </w:rPr>
      </w:pPr>
      <w:bookmarkStart w:id="229" w:name="_Toc9352855"/>
      <w:bookmarkStart w:id="230" w:name="_Toc234833067"/>
      <w:r>
        <w:rPr>
          <w:rFonts w:asciiTheme="minorEastAsia" w:hAnsiTheme="minorEastAsia" w:eastAsiaTheme="minorEastAsia"/>
          <w:sz w:val="24"/>
        </w:rPr>
        <w:t>15.5 承包人的合理化建议</w:t>
      </w:r>
      <w:bookmarkEnd w:id="229"/>
      <w:bookmarkEnd w:id="23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15.5.2 承包人提出的合理化建议降低了合同价格、缩短了工期或者提高了工程经济效益的，发包人可按国家有关规定在专用合同条款中约定给予奖励。</w:t>
      </w:r>
    </w:p>
    <w:p>
      <w:pPr>
        <w:rPr>
          <w:rFonts w:asciiTheme="minorEastAsia" w:hAnsiTheme="minorEastAsia" w:eastAsiaTheme="minorEastAsia"/>
          <w:b/>
          <w:sz w:val="24"/>
        </w:rPr>
      </w:pPr>
      <w:bookmarkStart w:id="231" w:name="_Toc9352856"/>
      <w:bookmarkStart w:id="232" w:name="_Toc234833068"/>
      <w:r>
        <w:rPr>
          <w:rFonts w:asciiTheme="minorEastAsia" w:hAnsiTheme="minorEastAsia" w:eastAsiaTheme="minorEastAsia"/>
          <w:sz w:val="24"/>
        </w:rPr>
        <w:t>15.6 暂列金额</w:t>
      </w:r>
      <w:bookmarkEnd w:id="231"/>
      <w:bookmarkEnd w:id="232"/>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暂列金额只能按照监理人的指示使用，并对合同价格进行相应调整。</w:t>
      </w:r>
    </w:p>
    <w:p>
      <w:pPr>
        <w:rPr>
          <w:rFonts w:asciiTheme="minorEastAsia" w:hAnsiTheme="minorEastAsia" w:eastAsiaTheme="minorEastAsia"/>
          <w:b/>
          <w:sz w:val="24"/>
        </w:rPr>
      </w:pPr>
      <w:bookmarkStart w:id="233" w:name="_Toc9352857"/>
      <w:bookmarkStart w:id="234" w:name="_Toc234833069"/>
      <w:r>
        <w:rPr>
          <w:rFonts w:asciiTheme="minorEastAsia" w:hAnsiTheme="minorEastAsia" w:eastAsiaTheme="minorEastAsia"/>
          <w:sz w:val="24"/>
        </w:rPr>
        <w:t>15.7 计日工</w:t>
      </w:r>
      <w:bookmarkEnd w:id="233"/>
      <w:bookmarkEnd w:id="23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15.7.1 发包人认为有必要时，由监理人通知承包人以计日工方式实施变更的零星工作。其价款按列入已标价工程量清单中的计日工计价子目及其单价进行计算。</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15.7.2 采用计日工计价的任何一项变更工作，应从暂列金额中支付，承包人应在该项变更的实施过程中，每天提交以下报表和有关凭证报送监理人审批：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（1）工作名称、内容和数量；</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（2）投入该工作所有人员的姓名、工种、级别和耗用工时；</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（3）投入该工作的材料类别和数量；</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（4）投入该工作的施工设备型号、台数和耗用台时；</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（5）监理人要求提交的其他资料和凭证。</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15.7.3 计日工由承包人汇总后，按第17.3.2项的约定列入进度付款申请单，由监理人复核并经发包人同意后列入进度付款。</w:t>
      </w:r>
    </w:p>
    <w:p>
      <w:pPr>
        <w:rPr>
          <w:rFonts w:asciiTheme="minorEastAsia" w:hAnsiTheme="minorEastAsia" w:eastAsiaTheme="minorEastAsia"/>
          <w:b/>
          <w:sz w:val="24"/>
        </w:rPr>
      </w:pPr>
      <w:bookmarkStart w:id="235" w:name="_Toc234833070"/>
      <w:bookmarkStart w:id="236" w:name="_Toc9352858"/>
      <w:r>
        <w:rPr>
          <w:rFonts w:asciiTheme="minorEastAsia" w:hAnsiTheme="minorEastAsia" w:eastAsiaTheme="minorEastAsia"/>
          <w:sz w:val="24"/>
        </w:rPr>
        <w:t>15.8暂估价</w:t>
      </w:r>
      <w:bookmarkEnd w:id="235"/>
      <w:bookmarkEnd w:id="23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15.8.1 发包人在工程量清单中给定暂估价的材料、工程设备和专业工程属于依法必须招标的范围并达到规定的规模标准的，由发包人和承包人以招标的方式选择供应商或分包人。发包人和承包人的权利义务关系在专用合同条款中约定。中标金额与工程量清单中所列的暂估价的金额差以及相应的税金等其他费用列入合同价格。</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15.8.2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15.8.3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p>
    <w:p>
      <w:pPr>
        <w:rPr>
          <w:rFonts w:asciiTheme="minorEastAsia" w:hAnsiTheme="minorEastAsia" w:eastAsiaTheme="minorEastAsia"/>
          <w:b/>
          <w:sz w:val="24"/>
        </w:rPr>
      </w:pPr>
      <w:bookmarkStart w:id="237" w:name="_Toc234833071"/>
      <w:bookmarkStart w:id="238" w:name="_Toc9352859"/>
      <w:r>
        <w:rPr>
          <w:rFonts w:asciiTheme="minorEastAsia" w:hAnsiTheme="minorEastAsia" w:eastAsiaTheme="minorEastAsia"/>
          <w:b/>
          <w:sz w:val="24"/>
        </w:rPr>
        <w:t>16. 价格调整</w:t>
      </w:r>
      <w:bookmarkEnd w:id="237"/>
      <w:bookmarkEnd w:id="238"/>
    </w:p>
    <w:p>
      <w:pPr>
        <w:rPr>
          <w:rFonts w:asciiTheme="minorEastAsia" w:hAnsiTheme="minorEastAsia" w:eastAsiaTheme="minorEastAsia"/>
          <w:b/>
          <w:sz w:val="24"/>
        </w:rPr>
      </w:pPr>
      <w:bookmarkStart w:id="239" w:name="_Toc234833072"/>
      <w:bookmarkStart w:id="240" w:name="_Toc9352860"/>
      <w:r>
        <w:rPr>
          <w:rFonts w:asciiTheme="minorEastAsia" w:hAnsiTheme="minorEastAsia" w:eastAsiaTheme="minorEastAsia"/>
          <w:sz w:val="24"/>
        </w:rPr>
        <w:t>16.1 物价波动引起的价格调整</w:t>
      </w:r>
      <w:bookmarkEnd w:id="239"/>
      <w:bookmarkEnd w:id="24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除专用合同条款另有约定外，因物价波动引起的价格调整按照本款约定处理。</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16.1.1 采用价格指数调整价格差额</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16.1.1.1 价格调整公式</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因人工、材料和设备等价格波动影响合同价格时，根据投标函附录中的价格指数和权重表约定的数据，按以下公式计算差额并调整合同价格：</w:t>
      </w:r>
    </w:p>
    <w:p>
      <w:pPr>
        <w:autoSpaceDE w:val="0"/>
        <w:autoSpaceDN w:val="0"/>
        <w:adjustRightInd w:val="0"/>
        <w:spacing w:line="400" w:lineRule="atLeast"/>
        <w:ind w:right="249"/>
        <w:jc w:val="center"/>
        <w:rPr>
          <w:rFonts w:asciiTheme="minorEastAsia" w:hAnsiTheme="minorEastAsia" w:eastAsiaTheme="minorEastAsia"/>
          <w:b/>
          <w:sz w:val="24"/>
        </w:rPr>
      </w:pPr>
      <w:r>
        <w:rPr>
          <w:rFonts w:asciiTheme="minorEastAsia" w:hAnsiTheme="minorEastAsia" w:eastAsiaTheme="minorEastAsia"/>
          <w:b/>
          <w:bCs/>
          <w:kern w:val="0"/>
          <w:position w:val="-34"/>
          <w:sz w:val="24"/>
          <w:lang w:val="zh-CN"/>
        </w:rPr>
        <w:object>
          <v:shape id="_x0000_i1025" o:spt="75" type="#_x0000_t75" style="height:50.25pt;width:363pt;" o:ole="t" filled="f" o:preferrelative="t" stroked="f" coordsize="21600,21600">
            <v:path/>
            <v:fill on="f" focussize="0,0"/>
            <v:stroke on="f" joinstyle="miter"/>
            <v:imagedata r:id="rId25" o:title=""/>
            <o:lock v:ext="edit" aspectratio="t"/>
            <w10:wrap type="none"/>
            <w10:anchorlock/>
          </v:shape>
          <o:OLEObject Type="Embed" ProgID="Equation.3" ShapeID="_x0000_i1025" DrawAspect="Content" ObjectID="_1468075725" r:id="rId24">
            <o:LockedField>false</o:LockedField>
          </o:OLEObject>
        </w:object>
      </w:r>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式中： </w:t>
      </w:r>
      <w:r>
        <w:rPr>
          <w:rFonts w:asciiTheme="minorEastAsia" w:hAnsiTheme="minorEastAsia" w:eastAsiaTheme="minorEastAsia"/>
          <w:b/>
          <w:sz w:val="24"/>
        </w:rPr>
        <w:t>△P</w:t>
      </w:r>
      <w:r>
        <w:rPr>
          <w:rFonts w:asciiTheme="minorEastAsia" w:hAnsiTheme="minorEastAsia" w:eastAsiaTheme="minorEastAsia"/>
          <w:sz w:val="24"/>
        </w:rPr>
        <w:t>-- 需调整的价格差额；</w:t>
      </w:r>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w:t>
      </w:r>
      <w:r>
        <w:rPr>
          <w:rFonts w:asciiTheme="minorEastAsia" w:hAnsiTheme="minorEastAsia" w:eastAsiaTheme="minorEastAsia"/>
          <w:b/>
          <w:bCs/>
          <w:sz w:val="24"/>
          <w:lang w:val="zh-CN"/>
        </w:rPr>
        <w:t xml:space="preserve"> P</w:t>
      </w:r>
      <w:r>
        <w:rPr>
          <w:rFonts w:asciiTheme="minorEastAsia" w:hAnsiTheme="minorEastAsia" w:eastAsiaTheme="minorEastAsia"/>
          <w:b/>
          <w:bCs/>
          <w:sz w:val="24"/>
          <w:vertAlign w:val="subscript"/>
          <w:lang w:val="zh-CN"/>
        </w:rPr>
        <w:t xml:space="preserve">0 </w:t>
      </w:r>
      <w:r>
        <w:rPr>
          <w:rFonts w:asciiTheme="minorEastAsia" w:hAnsiTheme="minorEastAsia" w:eastAsiaTheme="minorEastAsia"/>
          <w:sz w:val="24"/>
        </w:rPr>
        <w:t xml:space="preserve"> -- 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内；</w:t>
      </w:r>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w:t>
      </w:r>
      <w:r>
        <w:rPr>
          <w:rFonts w:asciiTheme="minorEastAsia" w:hAnsiTheme="minorEastAsia" w:eastAsiaTheme="minorEastAsia"/>
          <w:b/>
          <w:bCs/>
          <w:sz w:val="24"/>
          <w:lang w:val="zh-CN"/>
        </w:rPr>
        <w:t xml:space="preserve"> A</w:t>
      </w:r>
      <w:r>
        <w:rPr>
          <w:rFonts w:asciiTheme="minorEastAsia" w:hAnsiTheme="minorEastAsia" w:eastAsiaTheme="minorEastAsia"/>
          <w:sz w:val="24"/>
        </w:rPr>
        <w:t xml:space="preserve"> -- 定值权重（即不调部分的权重）；</w:t>
      </w:r>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w:t>
      </w:r>
      <w:r>
        <w:rPr>
          <w:rFonts w:asciiTheme="minorEastAsia" w:hAnsiTheme="minorEastAsia" w:eastAsiaTheme="minorEastAsia"/>
          <w:b/>
          <w:bCs/>
          <w:sz w:val="24"/>
        </w:rPr>
        <w:t xml:space="preserve"> B</w:t>
      </w:r>
      <w:r>
        <w:rPr>
          <w:rFonts w:asciiTheme="minorEastAsia" w:hAnsiTheme="minorEastAsia" w:eastAsiaTheme="minorEastAsia"/>
          <w:b/>
          <w:bCs/>
          <w:sz w:val="24"/>
          <w:vertAlign w:val="subscript"/>
        </w:rPr>
        <w:t>1</w:t>
      </w:r>
      <w:r>
        <w:rPr>
          <w:rFonts w:asciiTheme="minorEastAsia" w:hAnsiTheme="minorEastAsia" w:eastAsiaTheme="minorEastAsia"/>
          <w:b/>
          <w:bCs/>
          <w:sz w:val="24"/>
          <w:vertAlign w:val="subscript"/>
          <w:lang w:val="zh-CN"/>
        </w:rPr>
        <w:t xml:space="preserve">; </w:t>
      </w:r>
      <w:r>
        <w:rPr>
          <w:rFonts w:asciiTheme="minorEastAsia" w:hAnsiTheme="minorEastAsia" w:eastAsiaTheme="minorEastAsia"/>
          <w:b/>
          <w:bCs/>
          <w:sz w:val="24"/>
        </w:rPr>
        <w:t>B</w:t>
      </w:r>
      <w:r>
        <w:rPr>
          <w:rFonts w:asciiTheme="minorEastAsia" w:hAnsiTheme="minorEastAsia" w:eastAsiaTheme="minorEastAsia"/>
          <w:b/>
          <w:bCs/>
          <w:sz w:val="24"/>
          <w:vertAlign w:val="subscript"/>
        </w:rPr>
        <w:t>2</w:t>
      </w:r>
      <w:r>
        <w:rPr>
          <w:rFonts w:asciiTheme="minorEastAsia" w:hAnsiTheme="minorEastAsia" w:eastAsiaTheme="minorEastAsia"/>
          <w:b/>
          <w:bCs/>
          <w:sz w:val="24"/>
          <w:vertAlign w:val="subscript"/>
          <w:lang w:val="zh-CN"/>
        </w:rPr>
        <w:t xml:space="preserve">; </w:t>
      </w:r>
      <w:r>
        <w:rPr>
          <w:rFonts w:asciiTheme="minorEastAsia" w:hAnsiTheme="minorEastAsia" w:eastAsiaTheme="minorEastAsia"/>
          <w:b/>
          <w:bCs/>
          <w:sz w:val="24"/>
        </w:rPr>
        <w:t>B</w:t>
      </w:r>
      <w:r>
        <w:rPr>
          <w:rFonts w:asciiTheme="minorEastAsia" w:hAnsiTheme="minorEastAsia" w:eastAsiaTheme="minorEastAsia"/>
          <w:b/>
          <w:bCs/>
          <w:sz w:val="24"/>
          <w:vertAlign w:val="subscript"/>
        </w:rPr>
        <w:t>3……</w:t>
      </w:r>
      <w:r>
        <w:rPr>
          <w:rFonts w:asciiTheme="minorEastAsia" w:hAnsiTheme="minorEastAsia" w:eastAsiaTheme="minorEastAsia"/>
          <w:b/>
          <w:bCs/>
          <w:sz w:val="24"/>
          <w:lang w:val="zh-CN"/>
        </w:rPr>
        <w:t>B</w:t>
      </w:r>
      <w:r>
        <w:rPr>
          <w:rFonts w:asciiTheme="minorEastAsia" w:hAnsiTheme="minorEastAsia" w:eastAsiaTheme="minorEastAsia"/>
          <w:b/>
          <w:bCs/>
          <w:sz w:val="24"/>
          <w:vertAlign w:val="subscript"/>
          <w:lang w:val="zh-CN"/>
        </w:rPr>
        <w:t>n</w:t>
      </w:r>
      <w:r>
        <w:rPr>
          <w:rFonts w:asciiTheme="minorEastAsia" w:hAnsiTheme="minorEastAsia" w:eastAsiaTheme="minorEastAsia"/>
          <w:sz w:val="24"/>
          <w:vertAlign w:val="subscript"/>
        </w:rPr>
        <w:t xml:space="preserve"> </w:t>
      </w:r>
      <w:r>
        <w:rPr>
          <w:rFonts w:asciiTheme="minorEastAsia" w:hAnsiTheme="minorEastAsia" w:eastAsiaTheme="minorEastAsia"/>
          <w:sz w:val="24"/>
        </w:rPr>
        <w:t xml:space="preserve"> -- 各可调因子的变值权重（即可调部分的权重）为各可调因子在投标函投标总报价中所占的比例；</w:t>
      </w:r>
    </w:p>
    <w:p>
      <w:pPr>
        <w:spacing w:line="400" w:lineRule="atLeast"/>
        <w:rPr>
          <w:sz w:val="24"/>
        </w:rPr>
      </w:pPr>
      <w:r>
        <w:rPr>
          <w:sz w:val="24"/>
        </w:rPr>
        <w:t xml:space="preserve">      </w:t>
      </w:r>
      <w:r>
        <w:rPr>
          <w:b/>
          <w:bCs/>
          <w:sz w:val="24"/>
          <w:lang w:val="zh-CN"/>
        </w:rPr>
        <w:t xml:space="preserve"> F</w:t>
      </w:r>
      <w:r>
        <w:rPr>
          <w:b/>
          <w:bCs/>
          <w:sz w:val="24"/>
          <w:vertAlign w:val="subscript"/>
          <w:lang w:val="zh-CN"/>
        </w:rPr>
        <w:t>t1;</w:t>
      </w:r>
      <w:r>
        <w:rPr>
          <w:b/>
          <w:bCs/>
          <w:sz w:val="24"/>
          <w:lang w:val="zh-CN"/>
        </w:rPr>
        <w:t xml:space="preserve"> F</w:t>
      </w:r>
      <w:r>
        <w:rPr>
          <w:b/>
          <w:bCs/>
          <w:sz w:val="24"/>
          <w:vertAlign w:val="subscript"/>
          <w:lang w:val="zh-CN"/>
        </w:rPr>
        <w:t>t2;</w:t>
      </w:r>
      <w:r>
        <w:rPr>
          <w:b/>
          <w:bCs/>
          <w:sz w:val="24"/>
          <w:lang w:val="zh-CN"/>
        </w:rPr>
        <w:t xml:space="preserve"> F</w:t>
      </w:r>
      <w:r>
        <w:rPr>
          <w:b/>
          <w:bCs/>
          <w:sz w:val="24"/>
          <w:vertAlign w:val="subscript"/>
          <w:lang w:val="zh-CN"/>
        </w:rPr>
        <w:t>t3</w:t>
      </w:r>
      <w:r>
        <w:rPr>
          <w:b/>
          <w:bCs/>
          <w:sz w:val="24"/>
          <w:lang w:val="zh-CN"/>
        </w:rPr>
        <w:t>……F</w:t>
      </w:r>
      <w:r>
        <w:rPr>
          <w:b/>
          <w:bCs/>
          <w:sz w:val="24"/>
          <w:vertAlign w:val="subscript"/>
          <w:lang w:val="zh-CN"/>
        </w:rPr>
        <w:t>tn</w:t>
      </w:r>
      <w:r>
        <w:rPr>
          <w:sz w:val="24"/>
        </w:rPr>
        <w:t xml:space="preserve"> -- 各可调因子的现行价格指数，指第17.3.3项、第17.5.2项和第17.6.2项约定的付款证书相关周期最后一天的前42天的各可调因子的价格指数；</w:t>
      </w:r>
    </w:p>
    <w:p>
      <w:pPr>
        <w:spacing w:line="400" w:lineRule="atLeast"/>
        <w:ind w:firstLine="716" w:firstLineChars="297"/>
        <w:rPr>
          <w:sz w:val="24"/>
        </w:rPr>
      </w:pPr>
      <w:r>
        <w:rPr>
          <w:b/>
          <w:bCs/>
          <w:sz w:val="24"/>
        </w:rPr>
        <w:t>F</w:t>
      </w:r>
      <w:r>
        <w:rPr>
          <w:b/>
          <w:bCs/>
          <w:sz w:val="24"/>
          <w:vertAlign w:val="subscript"/>
        </w:rPr>
        <w:t>o1;</w:t>
      </w:r>
      <w:r>
        <w:rPr>
          <w:b/>
          <w:bCs/>
          <w:sz w:val="24"/>
        </w:rPr>
        <w:t xml:space="preserve"> F</w:t>
      </w:r>
      <w:r>
        <w:rPr>
          <w:b/>
          <w:bCs/>
          <w:sz w:val="24"/>
          <w:vertAlign w:val="subscript"/>
        </w:rPr>
        <w:t>o2;</w:t>
      </w:r>
      <w:r>
        <w:rPr>
          <w:b/>
          <w:bCs/>
          <w:sz w:val="24"/>
        </w:rPr>
        <w:t xml:space="preserve"> F</w:t>
      </w:r>
      <w:r>
        <w:rPr>
          <w:b/>
          <w:bCs/>
          <w:sz w:val="24"/>
          <w:vertAlign w:val="subscript"/>
        </w:rPr>
        <w:t>o3</w:t>
      </w:r>
      <w:r>
        <w:rPr>
          <w:b/>
          <w:bCs/>
          <w:sz w:val="24"/>
        </w:rPr>
        <w:t>……F</w:t>
      </w:r>
      <w:r>
        <w:rPr>
          <w:b/>
          <w:bCs/>
          <w:sz w:val="24"/>
          <w:vertAlign w:val="subscript"/>
        </w:rPr>
        <w:t>on</w:t>
      </w:r>
      <w:r>
        <w:rPr>
          <w:sz w:val="24"/>
        </w:rPr>
        <w:t xml:space="preserve"> --各可调因子的基本价格指数，指基准日期的各可调因子的价格指数。</w:t>
      </w:r>
    </w:p>
    <w:p>
      <w:pPr>
        <w:spacing w:line="400" w:lineRule="atLeast"/>
        <w:ind w:firstLine="477" w:firstLineChars="199"/>
        <w:rPr>
          <w:sz w:val="24"/>
        </w:rPr>
      </w:pPr>
      <w:r>
        <w:rPr>
          <w:sz w:val="24"/>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16.1.1.2 暂时确定调整差额</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在计算调整差额时得不到现行价格指数的，可暂用上一次价格指数计算，并在以后的付款中再按实际价格指数进行调整。</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16.1.1.3 权重的调整</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按第15.1款约定的变更导致原定合同中的权重不合理时，由监理人与承包人和发包人协商后进行调整。</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16.1.1.4 承包人工期延误后的价格调整</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pPr>
        <w:rPr>
          <w:rFonts w:asciiTheme="minorEastAsia" w:hAnsiTheme="minorEastAsia" w:eastAsiaTheme="minorEastAsia"/>
          <w:sz w:val="24"/>
        </w:rPr>
      </w:pPr>
      <w:r>
        <w:rPr>
          <w:rFonts w:asciiTheme="minorEastAsia" w:hAnsiTheme="minorEastAsia" w:eastAsiaTheme="minorEastAsia"/>
          <w:sz w:val="24"/>
        </w:rPr>
        <w:t>16.1.2 采用造价信息调整价格差额</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pPr>
        <w:rPr>
          <w:rFonts w:asciiTheme="minorEastAsia" w:hAnsiTheme="minorEastAsia" w:eastAsiaTheme="minorEastAsia"/>
          <w:b/>
          <w:sz w:val="24"/>
        </w:rPr>
      </w:pPr>
      <w:bookmarkStart w:id="241" w:name="_Toc234833073"/>
      <w:bookmarkStart w:id="242" w:name="_Toc9352861"/>
      <w:r>
        <w:rPr>
          <w:rFonts w:asciiTheme="minorEastAsia" w:hAnsiTheme="minorEastAsia" w:eastAsiaTheme="minorEastAsia"/>
          <w:sz w:val="24"/>
        </w:rPr>
        <w:t>16.2 法律变化引起的价格调整</w:t>
      </w:r>
      <w:bookmarkEnd w:id="241"/>
      <w:bookmarkEnd w:id="242"/>
    </w:p>
    <w:p>
      <w:pPr>
        <w:spacing w:line="400" w:lineRule="atLeast"/>
        <w:ind w:firstLine="435"/>
        <w:rPr>
          <w:rFonts w:asciiTheme="minorEastAsia" w:hAnsiTheme="minorEastAsia" w:eastAsiaTheme="minorEastAsia"/>
          <w:sz w:val="24"/>
        </w:rPr>
      </w:pPr>
      <w:r>
        <w:rPr>
          <w:rFonts w:asciiTheme="minorEastAsia" w:hAnsiTheme="minorEastAsia" w:eastAsiaTheme="minorEastAsia"/>
          <w:sz w:val="24"/>
        </w:rPr>
        <w:t>在基准日后，因法律变化导致承包人在合同履行中所需要的工程费用发生除第16.1款约定以外的增减时，监理人应根据法律、国家或省、自治区、直辖市有关部门的规定，按第3.5款商定或确定需调整的合同价款。</w:t>
      </w:r>
    </w:p>
    <w:p>
      <w:pPr>
        <w:rPr>
          <w:rFonts w:asciiTheme="minorEastAsia" w:hAnsiTheme="minorEastAsia" w:eastAsiaTheme="minorEastAsia"/>
          <w:b/>
          <w:sz w:val="24"/>
        </w:rPr>
      </w:pPr>
      <w:bookmarkStart w:id="243" w:name="_Toc234833074"/>
      <w:bookmarkStart w:id="244" w:name="_Toc9352862"/>
      <w:r>
        <w:rPr>
          <w:rFonts w:asciiTheme="minorEastAsia" w:hAnsiTheme="minorEastAsia" w:eastAsiaTheme="minorEastAsia"/>
          <w:b/>
          <w:sz w:val="24"/>
        </w:rPr>
        <w:t>17. 计量与支付</w:t>
      </w:r>
      <w:bookmarkEnd w:id="243"/>
      <w:bookmarkEnd w:id="244"/>
    </w:p>
    <w:p>
      <w:pPr>
        <w:rPr>
          <w:rFonts w:asciiTheme="minorEastAsia" w:hAnsiTheme="minorEastAsia" w:eastAsiaTheme="minorEastAsia"/>
          <w:b/>
          <w:sz w:val="24"/>
        </w:rPr>
      </w:pPr>
      <w:bookmarkStart w:id="245" w:name="_Toc234833075"/>
      <w:bookmarkStart w:id="246" w:name="_Toc9352863"/>
      <w:r>
        <w:rPr>
          <w:rFonts w:asciiTheme="minorEastAsia" w:hAnsiTheme="minorEastAsia" w:eastAsiaTheme="minorEastAsia"/>
          <w:sz w:val="24"/>
        </w:rPr>
        <w:t>17.1 计量</w:t>
      </w:r>
      <w:bookmarkEnd w:id="245"/>
      <w:bookmarkEnd w:id="246"/>
      <w:r>
        <w:rPr>
          <w:rFonts w:asciiTheme="minorEastAsia" w:hAnsiTheme="minorEastAsia" w:eastAsiaTheme="minorEastAsia"/>
          <w:sz w:val="24"/>
        </w:rPr>
        <w:t xml:space="preserve"> </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17.1.1 计量单位</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计量采用国家法定的计量单位。</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17.1.2 计量方法</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工程量清单中的工程量计算规则应按有关国家标准、行业标准的规定，并在合同中约定执行。</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17.1.3 计量周期</w:t>
      </w:r>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除专用合同条款另有约定外，单价子目已完成工程量按月计量，总价子目的计量周期按批准的支付分解报告确定。 </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17.1.4 单价子目的计量</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（1）已标价工程量清单中的单价子目工程量为估算工程量。结算工程量是承包人实际完成的，并按合同约定的计量方法进行计量的工程量。</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（2）承包人对已完成的工程进行计量，向监理人提交进度付款申请单、已完成工程量报表和有关计量资料。</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（4）监理人认为有必要时，可通知承包人共同进行联合测量、计量，承包人应遵照执行。</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（6）监理人应在收到承包人提交的工程量报表后的7天内进行复核，监理人未在约定时间内复核的，承包人提交的工程量报表中的工程量视为承包人实际完成的工程量，据此计算工程价款。</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17.1.5 总价子目的计量</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除专用合同条款另有约定外，总价子目的分解和计量按照下述约定进行。</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（1）总价子目的计量和支付应以总价为基础，不因第16.1款中的因素而进行调整。承包人实际完成的工程量，是进行工程目标管理和控制进度支付的依据。</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（3）监理人对承包人提交的上述资料进行复核，以确定分阶段实际完成的工程量和工程形象目标。对其有异议的，可要求承包人按第8.2款约定进行共同复核和抽样复测。</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（4）除按照第15条约定的变更外，总价子目的工程量是承包人用于结算的最终工程量。</w:t>
      </w:r>
    </w:p>
    <w:p>
      <w:pPr>
        <w:rPr>
          <w:rFonts w:asciiTheme="minorEastAsia" w:hAnsiTheme="minorEastAsia" w:eastAsiaTheme="minorEastAsia"/>
          <w:b/>
          <w:sz w:val="24"/>
        </w:rPr>
      </w:pPr>
      <w:bookmarkStart w:id="247" w:name="_Toc234833076"/>
      <w:bookmarkStart w:id="248" w:name="_Toc9352864"/>
      <w:r>
        <w:rPr>
          <w:rFonts w:asciiTheme="minorEastAsia" w:hAnsiTheme="minorEastAsia" w:eastAsiaTheme="minorEastAsia"/>
          <w:sz w:val="24"/>
        </w:rPr>
        <w:t>17.2 预付款</w:t>
      </w:r>
      <w:bookmarkEnd w:id="247"/>
      <w:bookmarkEnd w:id="248"/>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17.2.1预付款</w:t>
      </w:r>
    </w:p>
    <w:p>
      <w:pPr>
        <w:rPr>
          <w:rFonts w:asciiTheme="minorEastAsia" w:hAnsiTheme="minorEastAsia" w:eastAsiaTheme="minorEastAsia"/>
          <w:sz w:val="24"/>
        </w:rPr>
      </w:pPr>
      <w:r>
        <w:rPr>
          <w:rFonts w:asciiTheme="minorEastAsia" w:hAnsiTheme="minorEastAsia" w:eastAsiaTheme="minorEastAsia"/>
          <w:sz w:val="24"/>
        </w:rPr>
        <w:t>预付款用于承包人为合同工程施工购置材料、工程设备、施工设备、修建临时设施以及组织施工队伍进场等。预付款的额度和预付办法在专用合同条款中约定</w:t>
      </w:r>
      <w:r>
        <w:rPr>
          <w:rFonts w:hint="eastAsia" w:asciiTheme="minorEastAsia" w:hAnsiTheme="minorEastAsia" w:eastAsiaTheme="minorEastAsia"/>
          <w:sz w:val="24"/>
        </w:rPr>
        <w:t>。</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预付款必须专用于合同工程。</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17.2.2 预付款保函</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除专用合同条款另有约定外，承包人应在收到预付款的同时向发包人提交预付款保函，预付款保函的担保金额应与预付款金额相同。保函的担保金额可根据预付款扣回的金额相应递减。</w:t>
      </w:r>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17.2.3 预付款的扣回与还清</w:t>
      </w:r>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预付款在进度付款中扣回，扣回办法在专用合同条款中约定。在颁发工程接收证书前，由于不可抗力或其他原因解除合同时，预付款尚未扣清的，尚未扣清的预付款余额应作为承包人的到期应付款。</w:t>
      </w:r>
    </w:p>
    <w:p>
      <w:pPr>
        <w:rPr>
          <w:rFonts w:asciiTheme="minorEastAsia" w:hAnsiTheme="minorEastAsia" w:eastAsiaTheme="minorEastAsia"/>
          <w:b/>
          <w:sz w:val="24"/>
        </w:rPr>
      </w:pPr>
      <w:bookmarkStart w:id="249" w:name="_Toc234833077"/>
      <w:bookmarkStart w:id="250" w:name="_Toc9352865"/>
      <w:r>
        <w:rPr>
          <w:rFonts w:asciiTheme="minorEastAsia" w:hAnsiTheme="minorEastAsia" w:eastAsiaTheme="minorEastAsia"/>
          <w:sz w:val="24"/>
        </w:rPr>
        <w:t>17.3 工程进度付款</w:t>
      </w:r>
      <w:bookmarkEnd w:id="249"/>
      <w:bookmarkEnd w:id="250"/>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17.3.1 付款周期</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付款周期同计量周期。</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17.3.2 进度付款申请单</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承包人应在每个付款周期末，按监理人批准的格式和专用合同条款约定的份数，向监理人提交进度付款申请单，并附相应的支持性证明文件。除专用合同条款另有约定外，进度付款申请单应包括下列内容：</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（1）截至本次付款周期末已实施工程的价款；</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（2）根据第15条应增加和扣减的变更金额；</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（3）根据第23条应增加和扣减的索赔金额；</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（4）根据第17.2款约定应支付的预付款和扣减的返还预付款；</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（5）根据第17.4.1项约定应扣减的质量保证金；</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（6）根据合同应增加和扣减的其他金额。</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17.3.3 进度付款证书和支付时间</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（2）发包人应在监理人收到进度付款申请单后的28天内，将进度应付款支付给承包人。发包人不按期支付的，按专用合同条款的约定支付逾期付款违约金。</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（3）监理人出具进度付款证书，不应视为监理人已同意、批准或接受了承包人完成的该部分工作。</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（4）进度付款涉及政府投资资金的，按照国库集中支付等国家相关规定和专用合同条款的约定办理。</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br w:type="page"/>
      </w:r>
      <w:r>
        <w:rPr>
          <w:rFonts w:asciiTheme="minorEastAsia" w:hAnsiTheme="minorEastAsia" w:eastAsiaTheme="minorEastAsia"/>
          <w:sz w:val="24"/>
        </w:rPr>
        <w:t>17.3.4 工程进度付款的修正</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在对以往历次已签发的进度付款证书进行汇总和复核中发现错、漏或重复的，监理人有权予以修正，承包人也有权提出修正申请。经双方复核同意的修正，应在本次进度付款中支付或扣除。</w:t>
      </w:r>
    </w:p>
    <w:p>
      <w:pPr>
        <w:rPr>
          <w:rFonts w:asciiTheme="minorEastAsia" w:hAnsiTheme="minorEastAsia" w:eastAsiaTheme="minorEastAsia"/>
          <w:b/>
          <w:sz w:val="24"/>
        </w:rPr>
      </w:pPr>
      <w:bookmarkStart w:id="251" w:name="_Toc234833078"/>
      <w:bookmarkStart w:id="252" w:name="_Toc9352866"/>
      <w:r>
        <w:rPr>
          <w:rFonts w:asciiTheme="minorEastAsia" w:hAnsiTheme="minorEastAsia" w:eastAsiaTheme="minorEastAsia"/>
          <w:sz w:val="24"/>
        </w:rPr>
        <w:t>17.4 质量保证金</w:t>
      </w:r>
      <w:bookmarkEnd w:id="251"/>
      <w:bookmarkEnd w:id="25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17.4.1 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17.4.2 在第1.1.4.5目约定的缺陷责任期满时，承包人向发包人申请到期应返还承包人剩余的质量保证金金额，发包人应在14天内会同承包人按照合同约定的内容核实承包人是否完成缺陷责任。如无异议，发包人应当在核实后将剩余保证金返还承包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17.4.3在第1.1.4.5目约定的缺陷责任期满时，承包人没有完成缺陷责任的，发包人有权扣留与未履行责任剩余工作所需金额相应的质量保证金余额，并有权根据第19.3款约定要求延长缺陷责任期，直至完成剩余工作为止。 </w:t>
      </w:r>
    </w:p>
    <w:p>
      <w:pPr>
        <w:rPr>
          <w:rFonts w:asciiTheme="minorEastAsia" w:hAnsiTheme="minorEastAsia" w:eastAsiaTheme="minorEastAsia"/>
          <w:b/>
          <w:sz w:val="24"/>
        </w:rPr>
      </w:pPr>
      <w:bookmarkStart w:id="253" w:name="_Toc234833079"/>
      <w:bookmarkStart w:id="254" w:name="_Toc9352867"/>
      <w:r>
        <w:rPr>
          <w:rFonts w:asciiTheme="minorEastAsia" w:hAnsiTheme="minorEastAsia" w:eastAsiaTheme="minorEastAsia"/>
          <w:sz w:val="24"/>
        </w:rPr>
        <w:t>17.5 竣工结算</w:t>
      </w:r>
      <w:bookmarkEnd w:id="253"/>
      <w:bookmarkEnd w:id="254"/>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17.5.1 竣工付款申请单</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 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（2）监理人对竣工付款申请单有异议的，有权要求承包人进行修正和提供补充资料。经监理人和承包人协商后，由承包人向监理人提交修正后的竣工付款申请单。</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17.5.2 竣工付款证书及支付时间</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监理人在收到承包人提交的竣工付款申请单后的14天内完成核查，提出发包人到期应支付给承包人的价款送发包人审核并抄送承包人。发包人应在收到后14天内审核完毕，由监理人向承包人出具经发包人签认的竣工付款证书。监理人未在约定时间内核查，又未提出具体意见的，视为承包人提交的竣工付款申请单已经监理人核查同意；发包人未在约定时间内审核又未提出具体意见的，监理人提出发包人到期应支付给承包人的价款视为已经发包人同意。</w:t>
      </w:r>
    </w:p>
    <w:p>
      <w:pPr>
        <w:spacing w:line="400" w:lineRule="atLeast"/>
        <w:ind w:firstLine="600"/>
        <w:rPr>
          <w:rFonts w:asciiTheme="minorEastAsia" w:hAnsiTheme="minorEastAsia" w:eastAsiaTheme="minorEastAsia"/>
          <w:sz w:val="24"/>
        </w:rPr>
      </w:pPr>
      <w:r>
        <w:rPr>
          <w:rFonts w:asciiTheme="minorEastAsia" w:hAnsiTheme="minorEastAsia" w:eastAsiaTheme="minorEastAsia"/>
          <w:sz w:val="24"/>
        </w:rPr>
        <w:t>（2）发包人应在监理人出具竣工付款证书后的14天内，将应支付款支付给承包人。发包人不按期支付的，按第17.3.3（2）目的约定，将逾期付款违约金支付给承包人。</w:t>
      </w:r>
    </w:p>
    <w:p>
      <w:pPr>
        <w:spacing w:line="400" w:lineRule="atLeast"/>
        <w:ind w:firstLine="600"/>
        <w:rPr>
          <w:rFonts w:asciiTheme="minorEastAsia" w:hAnsiTheme="minorEastAsia" w:eastAsiaTheme="minorEastAsia"/>
          <w:sz w:val="24"/>
        </w:rPr>
      </w:pPr>
      <w:r>
        <w:rPr>
          <w:rFonts w:asciiTheme="minorEastAsia" w:hAnsiTheme="minorEastAsia" w:eastAsiaTheme="minorEastAsia"/>
          <w:sz w:val="24"/>
        </w:rPr>
        <w:t>（3）承包人对发包人签认的竣工付款证书有异议的，发包人可出具竣工付款申请单中承包人已同意部分的临时付款证书。存在争议的部分，按第24条的约定办理。</w:t>
      </w:r>
    </w:p>
    <w:p>
      <w:pPr>
        <w:spacing w:line="400" w:lineRule="atLeast"/>
        <w:ind w:firstLine="600"/>
        <w:rPr>
          <w:rFonts w:asciiTheme="minorEastAsia" w:hAnsiTheme="minorEastAsia" w:eastAsiaTheme="minorEastAsia"/>
          <w:sz w:val="24"/>
        </w:rPr>
      </w:pPr>
      <w:r>
        <w:rPr>
          <w:rFonts w:asciiTheme="minorEastAsia" w:hAnsiTheme="minorEastAsia" w:eastAsiaTheme="minorEastAsia"/>
          <w:sz w:val="24"/>
        </w:rPr>
        <w:t>（4）竣工付款涉及政府投资资金的，按第17.3.3（4）目的约定办理。</w:t>
      </w:r>
    </w:p>
    <w:p>
      <w:pPr>
        <w:rPr>
          <w:rFonts w:asciiTheme="minorEastAsia" w:hAnsiTheme="minorEastAsia" w:eastAsiaTheme="minorEastAsia"/>
          <w:b/>
          <w:sz w:val="24"/>
        </w:rPr>
      </w:pPr>
      <w:bookmarkStart w:id="255" w:name="_Toc234833080"/>
      <w:bookmarkStart w:id="256" w:name="_Toc9352868"/>
      <w:r>
        <w:rPr>
          <w:rFonts w:asciiTheme="minorEastAsia" w:hAnsiTheme="minorEastAsia" w:eastAsiaTheme="minorEastAsia"/>
          <w:sz w:val="24"/>
        </w:rPr>
        <w:t>17.6 最终结清</w:t>
      </w:r>
      <w:bookmarkEnd w:id="255"/>
      <w:bookmarkEnd w:id="256"/>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17.6.1 最终结清申请单</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（1）缺陷责任期终止证书签发后，承包人可按专用合同条款约定的份数和期限向监理人提交最终结清申请单，并提供相关证明材料。</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（2）发包人对最终结清申请单内容有异议的，有权要求承包人进行修正和提供补充资料，由承包人向监理人提交修正后的最终结清申请单。</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 xml:space="preserve">17.6.2 最终结清证书和支付时间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单已经监理人核查同意；发包人未在约定时间内审核又未提出具体意见的，监理人提出应支付给承包人的价款视为已经发包人同意。</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（2）发包人应在监理人出具最终结清证书后的14天内，将应支付款支付给承包人。发包人不按期支付的，按第17.3.3（2）目的约定，将逾期付款违约金支付给承包人。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（3）承包人对发包人签认的最终结清证书有异议的，按第24条的约定办理。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（4）最终结清付款涉及政府投资资金的，按第17.3.3（4）目的约定办理。</w:t>
      </w:r>
    </w:p>
    <w:p>
      <w:pPr>
        <w:rPr>
          <w:b/>
        </w:rPr>
      </w:pPr>
      <w:bookmarkStart w:id="257" w:name="_Toc234833081"/>
      <w:bookmarkStart w:id="258" w:name="_Toc9352869"/>
      <w:r>
        <w:rPr>
          <w:b/>
        </w:rPr>
        <w:t>18. 竣工验收</w:t>
      </w:r>
      <w:bookmarkEnd w:id="257"/>
      <w:bookmarkEnd w:id="258"/>
    </w:p>
    <w:p>
      <w:pPr>
        <w:rPr>
          <w:rFonts w:asciiTheme="minorEastAsia" w:hAnsiTheme="minorEastAsia" w:eastAsiaTheme="minorEastAsia"/>
          <w:b/>
          <w:sz w:val="24"/>
        </w:rPr>
      </w:pPr>
      <w:bookmarkStart w:id="259" w:name="_Toc234833082"/>
      <w:bookmarkStart w:id="260" w:name="_Toc9352870"/>
      <w:r>
        <w:rPr>
          <w:rFonts w:asciiTheme="minorEastAsia" w:hAnsiTheme="minorEastAsia" w:eastAsiaTheme="minorEastAsia"/>
          <w:sz w:val="24"/>
        </w:rPr>
        <w:t>18.1 竣工验收的含义</w:t>
      </w:r>
      <w:bookmarkEnd w:id="259"/>
      <w:bookmarkEnd w:id="26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18.1.1 竣工验收指承包人完成了全部合同工作后，发包人按合同要求进行的验收。</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18.1.2 国家验收是政府有关部门根据法律、规范、规程和政策要求，针对发包人全面组织实施的整个工程正式交付投运前的验收。</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18.1.3 需要进行国家验收的，竣工验收是国家验收的一部分。竣工验收所采用的各项验收和评定标准应符合国家验收标准。发包人和承包人为竣工验收提供的各项竣工验收资料应符合国家验收的要求。 </w:t>
      </w:r>
    </w:p>
    <w:p>
      <w:pPr>
        <w:rPr>
          <w:rFonts w:asciiTheme="minorEastAsia" w:hAnsiTheme="minorEastAsia" w:eastAsiaTheme="minorEastAsia"/>
          <w:b/>
          <w:sz w:val="24"/>
        </w:rPr>
      </w:pPr>
      <w:bookmarkStart w:id="261" w:name="_Toc234833083"/>
      <w:bookmarkStart w:id="262" w:name="_Toc9352871"/>
      <w:r>
        <w:rPr>
          <w:rFonts w:asciiTheme="minorEastAsia" w:hAnsiTheme="minorEastAsia" w:eastAsiaTheme="minorEastAsia"/>
          <w:sz w:val="24"/>
        </w:rPr>
        <w:t>18.2 竣工验收申请报告</w:t>
      </w:r>
      <w:bookmarkEnd w:id="261"/>
      <w:bookmarkEnd w:id="26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当工程具备以下条件时，承包人即可向监理人报送竣工验收申请报告：</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（1）除监理人同意列入缺陷责任期内完成的尾工（甩项）工程和缺陷修补工作外，合同范围内的全部单位工程以及有关工作，包括合同要求的试验、试运行以及检验和验收均已完成，并符合合同要求；</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（2）已按合同约定的内容和份数备齐了符合要求的竣工资料；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（3）已按监理人的要求编制了在缺陷责任期内完成的尾工（甩项）工程和缺陷修补工作清单以及相应施工计划；</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（4）监理人要求在竣工验收前应完成的其他工作；</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（5）监理人要求提交的竣工验收资料清单。</w:t>
      </w:r>
    </w:p>
    <w:p>
      <w:pPr>
        <w:rPr>
          <w:rFonts w:asciiTheme="minorEastAsia" w:hAnsiTheme="minorEastAsia" w:eastAsiaTheme="minorEastAsia"/>
          <w:b/>
          <w:sz w:val="24"/>
        </w:rPr>
      </w:pPr>
      <w:bookmarkStart w:id="263" w:name="_Toc234833084"/>
      <w:bookmarkStart w:id="264" w:name="_Toc9352872"/>
      <w:r>
        <w:rPr>
          <w:rFonts w:asciiTheme="minorEastAsia" w:hAnsiTheme="minorEastAsia" w:eastAsiaTheme="minorEastAsia"/>
          <w:sz w:val="24"/>
        </w:rPr>
        <w:t>18.3 验收</w:t>
      </w:r>
      <w:bookmarkEnd w:id="263"/>
      <w:bookmarkEnd w:id="26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监理人收到承包人按第18.2款约定提交的竣工验收申请报告后，应审查申请报告的各项内容，并按以下不同情况进行处理。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18.3.1 监理人审查后认为尚不具备竣工验收条件的，应在收到竣工验收申请报告后的28天内通知承包人，指出在颁发接收证书前承包人还需进行的工作内容。承包人完成监理人通知的全部工作内容后，应再次提交竣工验收申请报告，直至监理人同意为止。</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18.3.2 监理人审查后认为已具备竣工验收条件的，应在收到竣工验收申请报告后的28天内提请发包人进行工程验收。</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18.3.3发包人经过验收后同意接收工程的，应在监理人收到竣工验收申请报告后的56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18.3.4 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18.3.1项、第18.3.2项和第18.3.3项的约定进行。</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18.3.5 除专用合同条款另有约定外，经验收合格工程的实际竣工日期，以提交竣工验收申请报告的日期为准，并在工程接收证书中写明。</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18.3.6 发包人在收到承包人竣工验收申请报告56天后未进行验收的，视为验收合格，实际竣工日期以提交竣工验收申请报告的日期为准，但发包人由于不可抗力不能进行验收的除外。</w:t>
      </w:r>
    </w:p>
    <w:p>
      <w:pPr>
        <w:rPr>
          <w:rFonts w:asciiTheme="minorEastAsia" w:hAnsiTheme="minorEastAsia" w:eastAsiaTheme="minorEastAsia"/>
          <w:b/>
          <w:sz w:val="24"/>
        </w:rPr>
      </w:pPr>
      <w:bookmarkStart w:id="265" w:name="_Toc234833085"/>
      <w:bookmarkStart w:id="266" w:name="_Toc9352873"/>
      <w:r>
        <w:rPr>
          <w:rFonts w:asciiTheme="minorEastAsia" w:hAnsiTheme="minorEastAsia" w:eastAsiaTheme="minorEastAsia"/>
          <w:sz w:val="24"/>
        </w:rPr>
        <w:t>18.4 单位工程验收</w:t>
      </w:r>
      <w:bookmarkEnd w:id="265"/>
      <w:bookmarkEnd w:id="26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18.4.1发包人根据合同进度计划安排，在全部工程竣工前需要使用已经竣工的单位工程时，或承包人提出经发包人同意时，可进行单位工程验收。验收的程序可参照第18.2款与第18.3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18.4.2发包人在全部工程竣工前，使用已接收的单位工程导致承包人费用增加的，发包人应承担由此增加的费用和（或）工期延误，并支付承包人合理利润。</w:t>
      </w:r>
    </w:p>
    <w:p>
      <w:pPr>
        <w:rPr>
          <w:rFonts w:asciiTheme="minorEastAsia" w:hAnsiTheme="minorEastAsia" w:eastAsiaTheme="minorEastAsia"/>
          <w:b/>
          <w:sz w:val="24"/>
        </w:rPr>
      </w:pPr>
      <w:bookmarkStart w:id="267" w:name="_Toc234833086"/>
      <w:bookmarkStart w:id="268" w:name="_Toc9352874"/>
      <w:r>
        <w:rPr>
          <w:rFonts w:asciiTheme="minorEastAsia" w:hAnsiTheme="minorEastAsia" w:eastAsiaTheme="minorEastAsia"/>
          <w:sz w:val="24"/>
        </w:rPr>
        <w:t>18.5施工期运行</w:t>
      </w:r>
      <w:bookmarkEnd w:id="267"/>
      <w:bookmarkEnd w:id="26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18.5.1 施工期运行是指合同工程尚未全部竣工，其中某项或某几项单位工程或工程设备安装已竣工，根据专用合同条款约定，需要投入施工期运行的，经发包人按第18.4款的约定验收合格，证明能确保安全后，才能在施工期投入运行。</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18.5.2 在施工期运行中发现工程或工程设备损坏或存在缺陷的，由承包人按第19.2款约定进行修复。</w:t>
      </w:r>
    </w:p>
    <w:p>
      <w:pPr>
        <w:rPr>
          <w:rFonts w:asciiTheme="minorEastAsia" w:hAnsiTheme="minorEastAsia" w:eastAsiaTheme="minorEastAsia"/>
          <w:b/>
          <w:sz w:val="24"/>
        </w:rPr>
      </w:pPr>
      <w:bookmarkStart w:id="269" w:name="_Toc234833087"/>
      <w:bookmarkStart w:id="270" w:name="_Toc9352875"/>
      <w:r>
        <w:rPr>
          <w:rFonts w:asciiTheme="minorEastAsia" w:hAnsiTheme="minorEastAsia" w:eastAsiaTheme="minorEastAsia"/>
          <w:sz w:val="24"/>
        </w:rPr>
        <w:t>18.6 试运行</w:t>
      </w:r>
      <w:bookmarkEnd w:id="269"/>
      <w:bookmarkEnd w:id="27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18.6.1</w:t>
      </w:r>
      <w:r>
        <w:rPr>
          <w:rFonts w:asciiTheme="minorEastAsia" w:hAnsiTheme="minorEastAsia" w:eastAsiaTheme="minorEastAsia"/>
          <w:b/>
          <w:sz w:val="24"/>
        </w:rPr>
        <w:t xml:space="preserve"> </w:t>
      </w:r>
      <w:r>
        <w:rPr>
          <w:rFonts w:asciiTheme="minorEastAsia" w:hAnsiTheme="minorEastAsia" w:eastAsiaTheme="minorEastAsia"/>
          <w:sz w:val="24"/>
        </w:rPr>
        <w:t>除专用合同条款另有约定外，承包人应按专用合同条款约定进行工程及工程设备试运行，负责提供试运行所需的人员、器材和必要的条件，并承担全部试运行费用。</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18.6.2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rPr>
          <w:rFonts w:asciiTheme="minorEastAsia" w:hAnsiTheme="minorEastAsia" w:eastAsiaTheme="minorEastAsia"/>
          <w:b/>
          <w:sz w:val="24"/>
        </w:rPr>
      </w:pPr>
      <w:bookmarkStart w:id="271" w:name="_Toc234833088"/>
      <w:bookmarkStart w:id="272" w:name="_Toc9352876"/>
      <w:r>
        <w:rPr>
          <w:rFonts w:asciiTheme="minorEastAsia" w:hAnsiTheme="minorEastAsia" w:eastAsiaTheme="minorEastAsia"/>
          <w:sz w:val="24"/>
        </w:rPr>
        <w:t>18.7 竣工清场</w:t>
      </w:r>
      <w:bookmarkEnd w:id="271"/>
      <w:bookmarkEnd w:id="27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18.7.1除合同另有约定外，工程接收证书颁发后，承包人应按以下要求对施工场地进行清理，直至监理人检验合格为止。竣工清场费用由承包人承担。</w:t>
      </w:r>
    </w:p>
    <w:p>
      <w:pPr>
        <w:spacing w:line="400" w:lineRule="atLeast"/>
        <w:ind w:firstLine="650" w:firstLineChars="271"/>
        <w:rPr>
          <w:rFonts w:asciiTheme="minorEastAsia" w:hAnsiTheme="minorEastAsia" w:eastAsiaTheme="minorEastAsia"/>
          <w:sz w:val="24"/>
        </w:rPr>
      </w:pPr>
      <w:r>
        <w:rPr>
          <w:rFonts w:asciiTheme="minorEastAsia" w:hAnsiTheme="minorEastAsia" w:eastAsiaTheme="minorEastAsia"/>
          <w:sz w:val="24"/>
        </w:rPr>
        <w:t>（1）施工场地内残留的垃圾已全部清除出场；</w:t>
      </w:r>
    </w:p>
    <w:p>
      <w:pPr>
        <w:spacing w:line="400" w:lineRule="atLeast"/>
        <w:ind w:firstLine="650" w:firstLineChars="271"/>
        <w:rPr>
          <w:rFonts w:asciiTheme="minorEastAsia" w:hAnsiTheme="minorEastAsia" w:eastAsiaTheme="minorEastAsia"/>
          <w:sz w:val="24"/>
        </w:rPr>
      </w:pPr>
      <w:r>
        <w:rPr>
          <w:rFonts w:asciiTheme="minorEastAsia" w:hAnsiTheme="minorEastAsia" w:eastAsiaTheme="minorEastAsia"/>
          <w:sz w:val="24"/>
        </w:rPr>
        <w:t>（2）临时工程已拆除，场地已按合同要求进行清理、平整或复原；</w:t>
      </w:r>
    </w:p>
    <w:p>
      <w:pPr>
        <w:spacing w:line="400" w:lineRule="atLeast"/>
        <w:ind w:firstLine="650" w:firstLineChars="271"/>
        <w:rPr>
          <w:rFonts w:asciiTheme="minorEastAsia" w:hAnsiTheme="minorEastAsia" w:eastAsiaTheme="minorEastAsia"/>
          <w:sz w:val="24"/>
        </w:rPr>
      </w:pPr>
      <w:r>
        <w:rPr>
          <w:rFonts w:asciiTheme="minorEastAsia" w:hAnsiTheme="minorEastAsia" w:eastAsiaTheme="minorEastAsia"/>
          <w:sz w:val="24"/>
        </w:rPr>
        <w:t>（3）按合同约定应撤离的承包人设备和剩余的材料，包括废弃的施工设备和材料，已按计划撤离施工场地；</w:t>
      </w:r>
    </w:p>
    <w:p>
      <w:pPr>
        <w:spacing w:line="400" w:lineRule="atLeast"/>
        <w:ind w:firstLine="650" w:firstLineChars="271"/>
        <w:rPr>
          <w:rFonts w:asciiTheme="minorEastAsia" w:hAnsiTheme="minorEastAsia" w:eastAsiaTheme="minorEastAsia"/>
          <w:sz w:val="24"/>
        </w:rPr>
      </w:pPr>
      <w:r>
        <w:rPr>
          <w:rFonts w:asciiTheme="minorEastAsia" w:hAnsiTheme="minorEastAsia" w:eastAsiaTheme="minorEastAsia"/>
          <w:sz w:val="24"/>
        </w:rPr>
        <w:t>（4）工程建筑物周边及其附近道路、河道的施工堆积物，已按监理人指示全部清理；</w:t>
      </w:r>
    </w:p>
    <w:p>
      <w:pPr>
        <w:spacing w:line="400" w:lineRule="atLeast"/>
        <w:ind w:firstLine="650" w:firstLineChars="271"/>
        <w:rPr>
          <w:rFonts w:asciiTheme="minorEastAsia" w:hAnsiTheme="minorEastAsia" w:eastAsiaTheme="minorEastAsia"/>
          <w:sz w:val="24"/>
        </w:rPr>
      </w:pPr>
      <w:r>
        <w:rPr>
          <w:rFonts w:asciiTheme="minorEastAsia" w:hAnsiTheme="minorEastAsia" w:eastAsiaTheme="minorEastAsia"/>
          <w:sz w:val="24"/>
        </w:rPr>
        <w:t>（5）监理人指示的其他场地清理工作已全部完成。</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18.7.2承包人未按监理人的要求恢复临时占地，或者场地清理未达到合同约定的，发包人有权委托其他人恢复或清理，所发生的金额从拟支付给承包人的款项中扣除。</w:t>
      </w:r>
    </w:p>
    <w:p>
      <w:pPr>
        <w:rPr>
          <w:rFonts w:asciiTheme="minorEastAsia" w:hAnsiTheme="minorEastAsia" w:eastAsiaTheme="minorEastAsia"/>
          <w:b/>
          <w:sz w:val="24"/>
        </w:rPr>
      </w:pPr>
      <w:bookmarkStart w:id="273" w:name="_Toc234833089"/>
      <w:bookmarkStart w:id="274" w:name="_Toc9352877"/>
      <w:r>
        <w:rPr>
          <w:rFonts w:asciiTheme="minorEastAsia" w:hAnsiTheme="minorEastAsia" w:eastAsiaTheme="minorEastAsia"/>
          <w:sz w:val="24"/>
        </w:rPr>
        <w:t>18.8施工队伍的撤离</w:t>
      </w:r>
      <w:bookmarkEnd w:id="273"/>
      <w:bookmarkEnd w:id="27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工程接收证书颁发后的56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pPr>
        <w:rPr>
          <w:b/>
        </w:rPr>
      </w:pPr>
      <w:bookmarkStart w:id="275" w:name="_Toc234833090"/>
      <w:bookmarkStart w:id="276" w:name="_Toc9352878"/>
      <w:r>
        <w:rPr>
          <w:b/>
        </w:rPr>
        <w:t>19. 缺陷责任与保修责任</w:t>
      </w:r>
      <w:bookmarkEnd w:id="275"/>
      <w:bookmarkEnd w:id="276"/>
    </w:p>
    <w:p>
      <w:pPr>
        <w:rPr>
          <w:rFonts w:asciiTheme="minorEastAsia" w:hAnsiTheme="minorEastAsia" w:eastAsiaTheme="minorEastAsia"/>
          <w:b/>
          <w:sz w:val="24"/>
        </w:rPr>
      </w:pPr>
      <w:bookmarkStart w:id="277" w:name="_Toc234833091"/>
      <w:bookmarkStart w:id="278" w:name="_Toc9352879"/>
      <w:r>
        <w:rPr>
          <w:rFonts w:asciiTheme="minorEastAsia" w:hAnsiTheme="minorEastAsia" w:eastAsiaTheme="minorEastAsia"/>
          <w:sz w:val="24"/>
        </w:rPr>
        <w:t>19.1 缺陷责任期的起算时间</w:t>
      </w:r>
      <w:bookmarkEnd w:id="277"/>
      <w:bookmarkEnd w:id="27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缺陷责任期自实际竣工日期起计算。在全部工程竣工验收前，已经发包人提前验收的单位工程，其缺陷责任期的起算日期相应提前。</w:t>
      </w:r>
    </w:p>
    <w:p>
      <w:pPr>
        <w:rPr>
          <w:rFonts w:asciiTheme="minorEastAsia" w:hAnsiTheme="minorEastAsia" w:eastAsiaTheme="minorEastAsia"/>
          <w:b/>
          <w:sz w:val="24"/>
        </w:rPr>
      </w:pPr>
      <w:bookmarkStart w:id="279" w:name="_Toc234833092"/>
      <w:bookmarkStart w:id="280" w:name="_Toc9352880"/>
      <w:r>
        <w:rPr>
          <w:rFonts w:asciiTheme="minorEastAsia" w:hAnsiTheme="minorEastAsia" w:eastAsiaTheme="minorEastAsia"/>
          <w:sz w:val="24"/>
        </w:rPr>
        <w:t>19.2 缺陷责任</w:t>
      </w:r>
      <w:bookmarkEnd w:id="279"/>
      <w:bookmarkEnd w:id="28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19.2.1 承包人应在缺陷责任期内对已交付使用的工程承担缺陷责任。</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19.2.2 缺陷责任期内，发包人对已接收使用的工程负责日常维护工作。发包人在使用过程中，发现已接收的工程存在新的缺陷或已修复的缺陷部位或部件又遭损坏的，承包人应负责修复，直至检验合格为止。</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19.2.3 监理人和承包人应共同查清缺陷和（或）损坏的原因。经查明属承包人原因造成的，应由承包人承担修复和查验的费用。经查验属发包人原因造成的，发包人应承担修复和查验的费用，并支付承包人合理利润。</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19.2.4 承包人不能在合理时间内修复缺陷的，发包人可自行修复或委托其他人修复，所需费用和利润的承担，按第19.2.3项约定办理。</w:t>
      </w:r>
    </w:p>
    <w:p>
      <w:pPr>
        <w:rPr>
          <w:rFonts w:asciiTheme="minorEastAsia" w:hAnsiTheme="minorEastAsia" w:eastAsiaTheme="minorEastAsia"/>
          <w:b/>
          <w:sz w:val="24"/>
        </w:rPr>
      </w:pPr>
      <w:bookmarkStart w:id="281" w:name="_Toc234833093"/>
      <w:bookmarkStart w:id="282" w:name="_Toc9352881"/>
      <w:r>
        <w:rPr>
          <w:rFonts w:asciiTheme="minorEastAsia" w:hAnsiTheme="minorEastAsia" w:eastAsiaTheme="minorEastAsia"/>
          <w:sz w:val="24"/>
        </w:rPr>
        <w:t>19.3 缺陷责任期的延长</w:t>
      </w:r>
      <w:bookmarkEnd w:id="281"/>
      <w:bookmarkEnd w:id="28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由于承包人原因造成某项缺陷或损坏使某项工程或工程设备不能按原定目标使用而需要再次检查、检验和修复的，发包人有权要求承包人相应延长缺陷责任期，但缺陷责任期最长不超过2年。</w:t>
      </w:r>
    </w:p>
    <w:p>
      <w:pPr>
        <w:rPr>
          <w:rFonts w:asciiTheme="minorEastAsia" w:hAnsiTheme="minorEastAsia" w:eastAsiaTheme="minorEastAsia"/>
          <w:b/>
          <w:sz w:val="24"/>
        </w:rPr>
      </w:pPr>
      <w:bookmarkStart w:id="283" w:name="_Toc234833094"/>
      <w:bookmarkStart w:id="284" w:name="_Toc9352882"/>
      <w:r>
        <w:rPr>
          <w:rFonts w:asciiTheme="minorEastAsia" w:hAnsiTheme="minorEastAsia" w:eastAsiaTheme="minorEastAsia"/>
          <w:sz w:val="24"/>
        </w:rPr>
        <w:t>19.4 进一步试验和试运行</w:t>
      </w:r>
      <w:bookmarkEnd w:id="283"/>
      <w:bookmarkEnd w:id="284"/>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任何一项缺陷或损坏修复后，经检查证明其影响了工程或工程设备的使用性能，承包人应重新进行合同约定的试验和试运行，试验和试运行的全部费用应由责任方承担。</w:t>
      </w:r>
    </w:p>
    <w:p>
      <w:pPr>
        <w:rPr>
          <w:rFonts w:asciiTheme="minorEastAsia" w:hAnsiTheme="minorEastAsia" w:eastAsiaTheme="minorEastAsia"/>
          <w:b/>
          <w:sz w:val="24"/>
        </w:rPr>
      </w:pPr>
      <w:bookmarkStart w:id="285" w:name="_Toc234833095"/>
      <w:bookmarkStart w:id="286" w:name="_Toc9352883"/>
      <w:r>
        <w:rPr>
          <w:rFonts w:asciiTheme="minorEastAsia" w:hAnsiTheme="minorEastAsia" w:eastAsiaTheme="minorEastAsia"/>
          <w:sz w:val="24"/>
        </w:rPr>
        <w:t>19.5 承包人的进入权</w:t>
      </w:r>
      <w:bookmarkEnd w:id="285"/>
      <w:bookmarkEnd w:id="286"/>
      <w:r>
        <w:rPr>
          <w:rFonts w:asciiTheme="minorEastAsia" w:hAnsiTheme="minorEastAsia" w:eastAsiaTheme="minorEastAsia"/>
          <w:sz w:val="24"/>
        </w:rPr>
        <w:t xml:space="preserve"> </w:t>
      </w:r>
    </w:p>
    <w:p>
      <w:pPr>
        <w:spacing w:line="400" w:lineRule="atLeast"/>
        <w:ind w:firstLine="435"/>
        <w:rPr>
          <w:rFonts w:asciiTheme="minorEastAsia" w:hAnsiTheme="minorEastAsia" w:eastAsiaTheme="minorEastAsia"/>
          <w:sz w:val="24"/>
        </w:rPr>
      </w:pPr>
      <w:r>
        <w:rPr>
          <w:rFonts w:asciiTheme="minorEastAsia" w:hAnsiTheme="minorEastAsia" w:eastAsiaTheme="minorEastAsia"/>
          <w:sz w:val="24"/>
        </w:rPr>
        <w:t>缺陷责任期内承包人为缺陷修复工作需要，有权进入工程现场，但应遵守发包人的保安和保密规定。</w:t>
      </w:r>
    </w:p>
    <w:p>
      <w:pPr>
        <w:rPr>
          <w:rFonts w:asciiTheme="minorEastAsia" w:hAnsiTheme="minorEastAsia" w:eastAsiaTheme="minorEastAsia"/>
          <w:b/>
          <w:sz w:val="24"/>
        </w:rPr>
      </w:pPr>
      <w:bookmarkStart w:id="287" w:name="_Toc9352884"/>
      <w:bookmarkStart w:id="288" w:name="_Toc234833096"/>
      <w:r>
        <w:rPr>
          <w:rFonts w:asciiTheme="minorEastAsia" w:hAnsiTheme="minorEastAsia" w:eastAsiaTheme="minorEastAsia"/>
          <w:sz w:val="24"/>
        </w:rPr>
        <w:t>19.6 缺陷责任期终止证书</w:t>
      </w:r>
      <w:bookmarkEnd w:id="287"/>
      <w:bookmarkEnd w:id="28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在第1.1.4.5目约定的缺陷责任期，包括根据第19.3款延长的期限终止后14天内，由监理人向承包人出具经发包人签认的缺陷责任期终止证书，并退还剩余的质量保证金。</w:t>
      </w:r>
    </w:p>
    <w:p>
      <w:pPr>
        <w:rPr>
          <w:rFonts w:asciiTheme="minorEastAsia" w:hAnsiTheme="minorEastAsia" w:eastAsiaTheme="minorEastAsia"/>
          <w:b/>
          <w:sz w:val="24"/>
        </w:rPr>
      </w:pPr>
      <w:bookmarkStart w:id="289" w:name="_Toc234833097"/>
      <w:bookmarkStart w:id="290" w:name="_Toc9352885"/>
      <w:r>
        <w:rPr>
          <w:rFonts w:asciiTheme="minorEastAsia" w:hAnsiTheme="minorEastAsia" w:eastAsiaTheme="minorEastAsia"/>
          <w:sz w:val="24"/>
        </w:rPr>
        <w:t>19.7 保修责任</w:t>
      </w:r>
      <w:bookmarkEnd w:id="289"/>
      <w:bookmarkEnd w:id="29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合同当事人根据有关法律规定，在专用合同条款中约定工程质量保修范围、期限和责任。保修期自实际竣工日期起计算。在全部工程竣工验收前，已经发包人提前验收的单位工程，其保修期的起算日期相应提前。</w:t>
      </w:r>
    </w:p>
    <w:p>
      <w:pPr>
        <w:rPr>
          <w:b/>
        </w:rPr>
      </w:pPr>
      <w:bookmarkStart w:id="291" w:name="_Toc234833098"/>
      <w:bookmarkStart w:id="292" w:name="_Toc9352886"/>
      <w:r>
        <w:rPr>
          <w:b/>
        </w:rPr>
        <w:t>20. 保险</w:t>
      </w:r>
      <w:bookmarkEnd w:id="291"/>
      <w:bookmarkEnd w:id="292"/>
    </w:p>
    <w:p>
      <w:pPr>
        <w:rPr>
          <w:rFonts w:asciiTheme="minorEastAsia" w:hAnsiTheme="minorEastAsia" w:eastAsiaTheme="minorEastAsia"/>
          <w:b/>
          <w:sz w:val="24"/>
        </w:rPr>
      </w:pPr>
      <w:bookmarkStart w:id="293" w:name="_Toc9352887"/>
      <w:bookmarkStart w:id="294" w:name="_Toc234833099"/>
      <w:r>
        <w:rPr>
          <w:rFonts w:asciiTheme="minorEastAsia" w:hAnsiTheme="minorEastAsia" w:eastAsiaTheme="minorEastAsia"/>
          <w:sz w:val="24"/>
        </w:rPr>
        <w:t>20.1工程保险</w:t>
      </w:r>
      <w:bookmarkEnd w:id="293"/>
      <w:bookmarkEnd w:id="29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pPr>
        <w:rPr>
          <w:rFonts w:asciiTheme="minorEastAsia" w:hAnsiTheme="minorEastAsia" w:eastAsiaTheme="minorEastAsia"/>
          <w:b/>
          <w:sz w:val="24"/>
        </w:rPr>
      </w:pPr>
      <w:bookmarkStart w:id="295" w:name="_Toc9352888"/>
      <w:bookmarkStart w:id="296" w:name="_Toc234833100"/>
      <w:r>
        <w:rPr>
          <w:rFonts w:asciiTheme="minorEastAsia" w:hAnsiTheme="minorEastAsia" w:eastAsiaTheme="minorEastAsia"/>
          <w:sz w:val="24"/>
        </w:rPr>
        <w:t>20.2人员工伤事故的保险</w:t>
      </w:r>
      <w:bookmarkEnd w:id="295"/>
      <w:bookmarkEnd w:id="29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20.2.1 承包人员工伤事故的保险</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承包人应依照有关法律规定参加工伤保险，为其履行合同所</w:t>
      </w:r>
      <w:r>
        <w:rPr>
          <w:rFonts w:hint="eastAsia" w:asciiTheme="minorEastAsia" w:hAnsiTheme="minorEastAsia" w:eastAsiaTheme="minorEastAsia"/>
          <w:sz w:val="24"/>
        </w:rPr>
        <w:t>雇用</w:t>
      </w:r>
      <w:r>
        <w:rPr>
          <w:rFonts w:asciiTheme="minorEastAsia" w:hAnsiTheme="minorEastAsia" w:eastAsiaTheme="minorEastAsia"/>
          <w:sz w:val="24"/>
        </w:rPr>
        <w:t>的全部人员，缴纳工伤保险费，并要求其分包人也进行此项保险。</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20.2.2发包人员工伤事故的保险</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发包人应依照有关法律规定参加工伤保险，为其现场机构雇</w:t>
      </w:r>
      <w:r>
        <w:rPr>
          <w:rFonts w:hint="eastAsia" w:asciiTheme="minorEastAsia" w:hAnsiTheme="minorEastAsia" w:eastAsiaTheme="minorEastAsia"/>
          <w:sz w:val="24"/>
        </w:rPr>
        <w:t>用</w:t>
      </w:r>
      <w:r>
        <w:rPr>
          <w:rFonts w:asciiTheme="minorEastAsia" w:hAnsiTheme="minorEastAsia" w:eastAsiaTheme="minorEastAsia"/>
          <w:sz w:val="24"/>
        </w:rPr>
        <w:t>的全部人员，缴纳工伤保险费，并要求其监理人也进行此项保险。</w:t>
      </w:r>
    </w:p>
    <w:p>
      <w:pPr>
        <w:rPr>
          <w:rFonts w:asciiTheme="minorEastAsia" w:hAnsiTheme="minorEastAsia" w:eastAsiaTheme="minorEastAsia"/>
          <w:b/>
          <w:sz w:val="24"/>
        </w:rPr>
      </w:pPr>
      <w:bookmarkStart w:id="297" w:name="_Toc234833101"/>
      <w:bookmarkStart w:id="298" w:name="_Toc9352889"/>
      <w:r>
        <w:rPr>
          <w:rFonts w:asciiTheme="minorEastAsia" w:hAnsiTheme="minorEastAsia" w:eastAsiaTheme="minorEastAsia"/>
          <w:sz w:val="24"/>
        </w:rPr>
        <w:t>20.3 人身意外伤害险</w:t>
      </w:r>
      <w:bookmarkEnd w:id="297"/>
      <w:bookmarkEnd w:id="29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20.3.1发包人应在整个施工期间为其现场机构雇用的全部人员，投保人身意外伤害险，缴纳保险费，并要求其监理人也进行此项保险。</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20.3.2 承包人应在整个施工期间为其现场机构雇用的全部人员，投保人身意外伤害险，缴纳保险费，并要求其分包人也进行此项保险。</w:t>
      </w:r>
    </w:p>
    <w:p>
      <w:pPr>
        <w:rPr>
          <w:rFonts w:asciiTheme="minorEastAsia" w:hAnsiTheme="minorEastAsia" w:eastAsiaTheme="minorEastAsia"/>
          <w:b/>
          <w:sz w:val="24"/>
        </w:rPr>
      </w:pPr>
      <w:bookmarkStart w:id="299" w:name="_Toc234833102"/>
      <w:bookmarkStart w:id="300" w:name="_Toc9352890"/>
      <w:r>
        <w:rPr>
          <w:rFonts w:asciiTheme="minorEastAsia" w:hAnsiTheme="minorEastAsia" w:eastAsiaTheme="minorEastAsia"/>
          <w:sz w:val="24"/>
        </w:rPr>
        <w:t>20.4 第三者责任险</w:t>
      </w:r>
      <w:bookmarkEnd w:id="299"/>
      <w:bookmarkEnd w:id="300"/>
    </w:p>
    <w:p>
      <w:pPr>
        <w:spacing w:line="400" w:lineRule="atLeast"/>
        <w:ind w:firstLine="480"/>
        <w:rPr>
          <w:rFonts w:asciiTheme="minorEastAsia" w:hAnsiTheme="minorEastAsia" w:eastAsiaTheme="minorEastAsia"/>
          <w:sz w:val="24"/>
        </w:rPr>
      </w:pPr>
      <w:r>
        <w:rPr>
          <w:rFonts w:asciiTheme="minorEastAsia" w:hAnsiTheme="minorEastAsia" w:eastAsiaTheme="minorEastAsia"/>
          <w:sz w:val="24"/>
        </w:rPr>
        <w:t>20.4.1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spacing w:line="400" w:lineRule="atLeast"/>
        <w:ind w:firstLine="480"/>
        <w:rPr>
          <w:rFonts w:asciiTheme="minorEastAsia" w:hAnsiTheme="minorEastAsia" w:eastAsiaTheme="minorEastAsia"/>
          <w:sz w:val="24"/>
        </w:rPr>
      </w:pPr>
      <w:r>
        <w:rPr>
          <w:rFonts w:asciiTheme="minorEastAsia" w:hAnsiTheme="minorEastAsia" w:eastAsiaTheme="minorEastAsia"/>
          <w:sz w:val="24"/>
        </w:rPr>
        <w:t>20.4.2 在缺陷责任期终止证书颁发前，承包人应以承包人和发包人的共同名义，投保第20.4.1项约定的第三者责任险，其保险费率、保险金额等有关内容在专用合同条款中约定。</w:t>
      </w:r>
    </w:p>
    <w:p>
      <w:pPr>
        <w:rPr>
          <w:rFonts w:asciiTheme="minorEastAsia" w:hAnsiTheme="minorEastAsia" w:eastAsiaTheme="minorEastAsia"/>
          <w:b/>
          <w:sz w:val="24"/>
        </w:rPr>
      </w:pPr>
      <w:bookmarkStart w:id="301" w:name="_Toc9352891"/>
      <w:bookmarkStart w:id="302" w:name="_Toc234833103"/>
      <w:r>
        <w:rPr>
          <w:rFonts w:asciiTheme="minorEastAsia" w:hAnsiTheme="minorEastAsia" w:eastAsiaTheme="minorEastAsia"/>
          <w:sz w:val="24"/>
        </w:rPr>
        <w:t>20.5 其他保险</w:t>
      </w:r>
      <w:bookmarkEnd w:id="301"/>
      <w:bookmarkEnd w:id="302"/>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除专用合同条款另有约定外，承包人应为其施工设备、进场的材料和工程设备等办理保险。</w:t>
      </w:r>
    </w:p>
    <w:p>
      <w:pPr>
        <w:rPr>
          <w:rFonts w:asciiTheme="minorEastAsia" w:hAnsiTheme="minorEastAsia" w:eastAsiaTheme="minorEastAsia"/>
          <w:b/>
          <w:sz w:val="24"/>
        </w:rPr>
      </w:pPr>
      <w:bookmarkStart w:id="303" w:name="_Toc9352892"/>
      <w:bookmarkStart w:id="304" w:name="_Toc234833104"/>
      <w:r>
        <w:rPr>
          <w:rFonts w:asciiTheme="minorEastAsia" w:hAnsiTheme="minorEastAsia" w:eastAsiaTheme="minorEastAsia"/>
          <w:sz w:val="24"/>
        </w:rPr>
        <w:t>20.6 对各项保险的一般要求</w:t>
      </w:r>
      <w:bookmarkEnd w:id="303"/>
      <w:bookmarkEnd w:id="304"/>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20.6.1 保险凭证</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承包人应在专用合同条款约定的期限内向发包人提交各项保险生效的证据和保险单副本，保险单必须与专用合同条款约定的条件保持一致。</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20.6.2保险合同条款的变动</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承包人需要变动保险合同条款时，应事先征得发包人同意，并通知监理人。保险人作出变动的，承包人应在收到保险人通知后立即通知发包人和监理人。</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20.6.3 持续保险</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承包人应与保险人保持联系，使保险人能够随时了解工程实施中的变动，并确保按保险合同条款要求持续保险。</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20.6.4 保险金不足的补偿</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保险金不足以补偿损失的，应由承包人和（或）发包人按合同约定负责补偿。</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20.6.5 未按约定投保的补救</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（1）由于负有投保义务的一方当事人未按合同约定办理保险，或未能使保险持续有效的，另一方当事人可代为办理，所需费用由对方当事人承担。</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（2）由于负有投保义务的一方当事人未按合同约定办理某项保险，导致受益人未能得到保险人的赔偿，原应从该项保险得到的保险金应由负有投保义务的一方当事人支付。</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20.6.6报告义务</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 xml:space="preserve">  当保险事故发生时，投保人应按照保险单规定的条件和期限及时向保险人报告。</w:t>
      </w:r>
    </w:p>
    <w:p>
      <w:pPr>
        <w:rPr>
          <w:rFonts w:asciiTheme="minorEastAsia" w:hAnsiTheme="minorEastAsia" w:eastAsiaTheme="minorEastAsia"/>
          <w:b/>
          <w:sz w:val="24"/>
        </w:rPr>
      </w:pPr>
      <w:bookmarkStart w:id="305" w:name="_Toc234833105"/>
      <w:bookmarkStart w:id="306" w:name="_Toc9352893"/>
      <w:r>
        <w:rPr>
          <w:rFonts w:asciiTheme="minorEastAsia" w:hAnsiTheme="minorEastAsia" w:eastAsiaTheme="minorEastAsia"/>
          <w:b/>
          <w:sz w:val="24"/>
        </w:rPr>
        <w:t>21. 不可抗力</w:t>
      </w:r>
      <w:bookmarkEnd w:id="305"/>
      <w:bookmarkEnd w:id="306"/>
    </w:p>
    <w:p>
      <w:pPr>
        <w:rPr>
          <w:rFonts w:asciiTheme="minorEastAsia" w:hAnsiTheme="minorEastAsia" w:eastAsiaTheme="minorEastAsia"/>
          <w:b/>
          <w:sz w:val="24"/>
        </w:rPr>
      </w:pPr>
      <w:bookmarkStart w:id="307" w:name="_Toc234833106"/>
      <w:bookmarkStart w:id="308" w:name="_Toc9352894"/>
      <w:r>
        <w:rPr>
          <w:rFonts w:asciiTheme="minorEastAsia" w:hAnsiTheme="minorEastAsia" w:eastAsiaTheme="minorEastAsia"/>
          <w:sz w:val="24"/>
        </w:rPr>
        <w:t>21.1 不可抗力的确认</w:t>
      </w:r>
      <w:bookmarkEnd w:id="307"/>
      <w:bookmarkEnd w:id="30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21.1.1 不可抗力是指承包人和发包人在订立合同时不可预见，在工程施工过程中不可避免发生并不能克服的自然灾害和社会性突发事件，如地震、海啸、瘟疫、水灾、骚乱、暴动、战争和专用合同条款约定的其他情形。</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pPr>
        <w:rPr>
          <w:rFonts w:asciiTheme="minorEastAsia" w:hAnsiTheme="minorEastAsia" w:eastAsiaTheme="minorEastAsia"/>
          <w:b/>
          <w:sz w:val="24"/>
        </w:rPr>
      </w:pPr>
      <w:bookmarkStart w:id="309" w:name="_Toc9352895"/>
      <w:bookmarkStart w:id="310" w:name="_Toc234833107"/>
      <w:r>
        <w:rPr>
          <w:rFonts w:asciiTheme="minorEastAsia" w:hAnsiTheme="minorEastAsia" w:eastAsiaTheme="minorEastAsia"/>
          <w:sz w:val="24"/>
        </w:rPr>
        <w:t>21.2 不可抗力的通知</w:t>
      </w:r>
      <w:bookmarkEnd w:id="309"/>
      <w:bookmarkEnd w:id="31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21.2.1 合同一方当事人遇到不可抗力事件，使其履行合同义务受到阻碍时，应立即通知合同另一方当事人和监理人，书面说明不可抗力和受阻碍的详细情况，并提供必要的证明。</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21.2.2 如不可抗力持续发生，合同一方当事人应及时向合同另一方当事人和监理人提交中间报告，说明不可抗力和履行合同受阻的情况，并于不可抗力事件结束后28天内提交最终报告及有关资料。</w:t>
      </w:r>
    </w:p>
    <w:p>
      <w:pPr>
        <w:rPr>
          <w:rFonts w:asciiTheme="minorEastAsia" w:hAnsiTheme="minorEastAsia" w:eastAsiaTheme="minorEastAsia"/>
          <w:b/>
          <w:sz w:val="24"/>
        </w:rPr>
      </w:pPr>
      <w:bookmarkStart w:id="311" w:name="_Toc234833108"/>
      <w:bookmarkStart w:id="312" w:name="_Toc9352896"/>
      <w:r>
        <w:rPr>
          <w:rFonts w:asciiTheme="minorEastAsia" w:hAnsiTheme="minorEastAsia" w:eastAsiaTheme="minorEastAsia"/>
          <w:sz w:val="24"/>
        </w:rPr>
        <w:t>21.3 不可抗力后果及其处理</w:t>
      </w:r>
      <w:bookmarkEnd w:id="311"/>
      <w:bookmarkEnd w:id="312"/>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21.3.1 不可抗力造成损害的责任</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除专用合同条款另有约定外，不可抗力导致的人员伤亡、财产损失、费用增加和（或）工期延误等后果，由合同双方按以下原则承担：</w:t>
      </w:r>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（1）永久工程，包括已运至施工场地的材料和工程设备的损害，以及因工程损害造成的第三者人员伤亡和财产损失由发包人承担；</w:t>
      </w:r>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（2）承包人设备的损坏由承包人承担；</w:t>
      </w:r>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（3）发包人和承包人各自承担其人员伤亡和其他财产损失及其相关费用；</w:t>
      </w:r>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（4）承包人的停工损失由承包人承担，但停工期间应监理人要求照管工程和清理、修复工程的金额由发包人承担；</w:t>
      </w:r>
    </w:p>
    <w:p>
      <w:pPr>
        <w:spacing w:line="400" w:lineRule="atLeast"/>
        <w:rPr>
          <w:rFonts w:asciiTheme="minorEastAsia" w:hAnsiTheme="minorEastAsia" w:eastAsiaTheme="minorEastAsia"/>
          <w:sz w:val="24"/>
        </w:rPr>
      </w:pPr>
      <w:r>
        <w:rPr>
          <w:rFonts w:asciiTheme="minorEastAsia" w:hAnsiTheme="minorEastAsia" w:eastAsiaTheme="minorEastAsia"/>
          <w:sz w:val="24"/>
        </w:rPr>
        <w:t xml:space="preserve">      （5）不能按期竣工的，应合理延长工期，承包人不需支付逾期竣工违约金。发包人要求赶工的，承包人应采取赶工措施，赶工费用由发包人承担。</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21.3.2 延迟履行期间发生的不可抗力</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合同一方当事人延迟履行，在延迟履行期间发生不可抗力的，不免除其责任。</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21.3.3 避免和减少不可抗力损失</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不可抗力发生后，发包人和承包人均应采取措施尽量避免和减少损失的扩大，任何一方没有采取有效措施导致损失扩大的，应对扩大的损失承担责任。</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21.3.4 因不可抗力解除合同</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pPr>
        <w:rPr>
          <w:rFonts w:asciiTheme="minorEastAsia" w:hAnsiTheme="minorEastAsia" w:eastAsiaTheme="minorEastAsia"/>
          <w:b/>
          <w:sz w:val="24"/>
        </w:rPr>
      </w:pPr>
      <w:bookmarkStart w:id="313" w:name="_Toc234833109"/>
      <w:bookmarkStart w:id="314" w:name="_Toc9352897"/>
      <w:r>
        <w:rPr>
          <w:rFonts w:asciiTheme="minorEastAsia" w:hAnsiTheme="minorEastAsia" w:eastAsiaTheme="minorEastAsia"/>
          <w:b/>
          <w:sz w:val="24"/>
        </w:rPr>
        <w:t>22. 违约</w:t>
      </w:r>
      <w:bookmarkEnd w:id="313"/>
      <w:bookmarkEnd w:id="314"/>
    </w:p>
    <w:p>
      <w:pPr>
        <w:rPr>
          <w:rFonts w:asciiTheme="minorEastAsia" w:hAnsiTheme="minorEastAsia" w:eastAsiaTheme="minorEastAsia"/>
          <w:b/>
          <w:sz w:val="24"/>
        </w:rPr>
      </w:pPr>
      <w:bookmarkStart w:id="315" w:name="_Toc234833110"/>
      <w:bookmarkStart w:id="316" w:name="_Toc9352898"/>
      <w:r>
        <w:rPr>
          <w:rFonts w:asciiTheme="minorEastAsia" w:hAnsiTheme="minorEastAsia" w:eastAsiaTheme="minorEastAsia"/>
          <w:sz w:val="24"/>
        </w:rPr>
        <w:t>22.1 承包人违约</w:t>
      </w:r>
      <w:bookmarkEnd w:id="315"/>
      <w:bookmarkEnd w:id="31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22.1.1 承包人违约的情形</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在履行合同过程中发生的下列情况属承包人违约：</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（1）承包人违反第1.8款或第4.3款的约定，私自将合同的全部或部分权利转让给其他人，或私自将合同的全部或部分义务转移给其他人；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（2）承包人违反第5.3款或第6.4款的约定，未经监理人批准，私自将已按合同约定进入施工场地的施工设备、临时设施或材料撤离施工场地；</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（3）承包人违反第5.4款的约定使用了不合格材料或工程设备，工程质量达不到标准要求，又拒绝清除不合格工程；</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（4）承包人未能按合同进度计划及时完成合同约定的工作，已造成或预期造成工期延误；</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（5）承包人在缺陷责任期内，未能对工程接收证书所列的缺陷清单的内容或缺陷责任期内发生的缺陷进行修复，而又拒绝按监理人指示再进行修补；</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（6）承包人无法继续履行或明确表示不履行或实质上已停止履行合同；</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（7）承包人不按合同约定履行义务的其他情况。</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22.1.2 对承包人违约的处理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（1）承包人发生第22.1.1（6）目约定的违约情况时，发包人可通知承包人立即解除合同，并按有关法律处理。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（2）承包人发生除第22.1.1（6）目约定以外的其他违约情况时，监理人可向承包人发出整改通知，要求其在指定的期限内改正。承包人应承担其违约所引起的费用增加和（或）工期延误。</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（3）经检查证明承包人已采取了有效措施纠正违约行为，具备复工条件的，可由监理人签发复工通知复工。</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22.1.3 承包人违约解除合同</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22.1.4 合同解除后的估价、付款和结清</w:t>
      </w:r>
    </w:p>
    <w:p>
      <w:pPr>
        <w:tabs>
          <w:tab w:val="left" w:pos="540"/>
        </w:tabs>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（1）合同解除后，监理人按第3.5款商定或确定承包人实际完成工作的价值，以及承包人已提供的材料、施工设备、工程设备和临时工程等的价值。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（2）合同解除后，发包人应暂停对承包人的一切付款，查清各项付款和已扣款金额，包括承包人应支付的违约金。 </w:t>
      </w:r>
    </w:p>
    <w:p>
      <w:pPr>
        <w:tabs>
          <w:tab w:val="left" w:pos="720"/>
        </w:tabs>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（3）合同解除后，发包人应按第23.4款的约定向承包人索赔由于解除合同给发包人造成的损失。</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（4）合同双方确认上述往来款项后，出具最终结清付款证书，结清全部合同款项。</w:t>
      </w:r>
    </w:p>
    <w:p>
      <w:pPr>
        <w:spacing w:line="400" w:lineRule="atLeast"/>
        <w:ind w:right="25" w:rightChars="12" w:firstLine="480" w:firstLineChars="200"/>
        <w:rPr>
          <w:rFonts w:asciiTheme="minorEastAsia" w:hAnsiTheme="minorEastAsia" w:eastAsiaTheme="minorEastAsia"/>
          <w:sz w:val="24"/>
        </w:rPr>
      </w:pPr>
      <w:r>
        <w:rPr>
          <w:rFonts w:asciiTheme="minorEastAsia" w:hAnsiTheme="minorEastAsia" w:eastAsiaTheme="minorEastAsia"/>
          <w:sz w:val="24"/>
        </w:rPr>
        <w:t>（5）发包人和承包人未能就解除合同后的结清达成一致而形成争议的，按第24条的约定办理。</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22.1.5 协议利益的转让</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因承包人违约解除合同的，发包人有权要求承包人将其为实施合同而签订的材料和设备的订货协议或任何服务协议利益转让给发包人，并在解除合同后的14天内，依法办理转让手续。 </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22.1.6 紧急情况下无能力或不愿进行抢救</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rPr>
          <w:b/>
        </w:rPr>
      </w:pPr>
      <w:bookmarkStart w:id="317" w:name="_Toc234833111"/>
      <w:bookmarkStart w:id="318" w:name="_Toc9352899"/>
      <w:r>
        <w:t>22.2 发包人违约</w:t>
      </w:r>
      <w:bookmarkEnd w:id="317"/>
      <w:bookmarkEnd w:id="318"/>
    </w:p>
    <w:p>
      <w:pPr>
        <w:spacing w:line="400" w:lineRule="atLeast"/>
        <w:ind w:firstLine="480" w:firstLineChars="200"/>
        <w:rPr>
          <w:sz w:val="24"/>
        </w:rPr>
      </w:pPr>
      <w:r>
        <w:rPr>
          <w:sz w:val="24"/>
        </w:rPr>
        <w:t>22.2.1</w:t>
      </w:r>
      <w:r>
        <w:rPr>
          <w:rFonts w:eastAsia="黑体"/>
          <w:sz w:val="24"/>
        </w:rPr>
        <w:t>发包人违约的情形</w:t>
      </w:r>
    </w:p>
    <w:p>
      <w:pPr>
        <w:spacing w:line="400" w:lineRule="atLeast"/>
        <w:ind w:firstLine="480" w:firstLineChars="200"/>
        <w:rPr>
          <w:sz w:val="24"/>
        </w:rPr>
      </w:pPr>
      <w:r>
        <w:rPr>
          <w:sz w:val="24"/>
        </w:rPr>
        <w:t>在履行合同过程中发生的下列情形，属发包人违约：</w:t>
      </w:r>
    </w:p>
    <w:p>
      <w:pPr>
        <w:spacing w:line="400" w:lineRule="atLeast"/>
        <w:ind w:firstLine="480" w:firstLineChars="200"/>
        <w:rPr>
          <w:sz w:val="24"/>
        </w:rPr>
      </w:pPr>
      <w:r>
        <w:rPr>
          <w:sz w:val="24"/>
        </w:rPr>
        <w:t xml:space="preserve">（1）发包人未能按合同约定支付预付款或合同价款，或拖延、拒绝批准付款申请和支付凭证，导致付款延误的； </w:t>
      </w:r>
    </w:p>
    <w:p>
      <w:pPr>
        <w:tabs>
          <w:tab w:val="left" w:pos="720"/>
        </w:tabs>
        <w:spacing w:line="400" w:lineRule="atLeast"/>
        <w:ind w:firstLine="480" w:firstLineChars="200"/>
        <w:rPr>
          <w:sz w:val="24"/>
        </w:rPr>
      </w:pPr>
      <w:r>
        <w:rPr>
          <w:sz w:val="24"/>
        </w:rPr>
        <w:t>（2）发包人原因造成停工的；</w:t>
      </w:r>
    </w:p>
    <w:p>
      <w:pPr>
        <w:spacing w:line="400" w:lineRule="atLeast"/>
        <w:ind w:firstLine="480" w:firstLineChars="200"/>
        <w:rPr>
          <w:sz w:val="24"/>
        </w:rPr>
      </w:pPr>
      <w:r>
        <w:rPr>
          <w:sz w:val="24"/>
        </w:rPr>
        <w:t>（3）监理人无正当理由没有在约定期限内发出复工指示，导致承包人无法复工的；</w:t>
      </w:r>
    </w:p>
    <w:p>
      <w:pPr>
        <w:spacing w:line="400" w:lineRule="atLeast"/>
        <w:ind w:firstLine="480" w:firstLineChars="200"/>
        <w:rPr>
          <w:sz w:val="24"/>
        </w:rPr>
      </w:pPr>
      <w:r>
        <w:rPr>
          <w:sz w:val="24"/>
        </w:rPr>
        <w:t>（4）发包人无法继续履行或明确表示不履行或实质上已停止履行合同的；</w:t>
      </w:r>
    </w:p>
    <w:p>
      <w:pPr>
        <w:tabs>
          <w:tab w:val="left" w:pos="720"/>
        </w:tabs>
        <w:spacing w:line="400" w:lineRule="atLeast"/>
        <w:ind w:firstLine="480" w:firstLineChars="200"/>
        <w:rPr>
          <w:sz w:val="24"/>
        </w:rPr>
      </w:pPr>
      <w:r>
        <w:rPr>
          <w:sz w:val="24"/>
        </w:rPr>
        <w:t>（5）发包人不履行合同约定其他义务的。</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22.2.2 承包人有权暂停施工</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 xml:space="preserve">22.2.3 发包人违约解除合同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（1）发生第22.2.1（4）目的违约情况时，承包人可书面通知发包人解除合同。   </w:t>
      </w:r>
    </w:p>
    <w:p>
      <w:pPr>
        <w:tabs>
          <w:tab w:val="left" w:pos="720"/>
          <w:tab w:val="left" w:pos="900"/>
        </w:tabs>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（2）承包人按第22.2.2项暂停施工28天后，发包人仍不纠正违约行为的，承包人可向发包人发出解除合同通知。但承包人的这一行动不免除发包人承担的违约责任，也不影响承包人根据合同约定享有的索赔权利。</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22.2.4 解除合同后的付款</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因发包人违约解除合同的，发包人应在解除合同后28天内向承包人支付下列金额，承包人应在此期限内及时向发包人提交要求支付下列金额的有关资料和凭证：</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（1）合同解除日以前所完成工作的价款；</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（2）承包人为该工程施工订购并已付款的材料、工程设备和其他物品的金额。发包人付还后，该材料、工程设备和其他物品归发包人所有；</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（3）承包人为完成工程所发生的，而发包人未支付的金额；</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（4）承包人撤离施工场地以及遣散承包人人员的金额；</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（5）由于解除合同应赔偿的承包人损失；</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（6）按合同约定在合同解除日前应支付给承包人的其他金额。</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发包人应按本项约定支付上述金额并退还质量保证金和履约担保，但有权要求承包人支付应偿还给发包人的各项金额。</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22.2.5 解除合同后的承包人撤离</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因发包人违约而解除合同后，承包人应妥善做好已竣工工程和已购材料、设备的保护和移交工作，按发包人要求将承包人设备和人员撤出施工场地。承包人撤出施工场地应遵守第18.7.1项的约定，发包人应为承包人撤出提供必要条件。</w:t>
      </w:r>
    </w:p>
    <w:p>
      <w:pPr>
        <w:rPr>
          <w:rFonts w:asciiTheme="minorEastAsia" w:hAnsiTheme="minorEastAsia" w:eastAsiaTheme="minorEastAsia"/>
          <w:b/>
          <w:sz w:val="24"/>
        </w:rPr>
      </w:pPr>
      <w:bookmarkStart w:id="319" w:name="_Toc234833112"/>
      <w:bookmarkStart w:id="320" w:name="_Toc9352900"/>
      <w:r>
        <w:rPr>
          <w:rFonts w:asciiTheme="minorEastAsia" w:hAnsiTheme="minorEastAsia" w:eastAsiaTheme="minorEastAsia"/>
          <w:sz w:val="24"/>
        </w:rPr>
        <w:t>22.3第三人造成的违约</w:t>
      </w:r>
      <w:bookmarkEnd w:id="319"/>
      <w:bookmarkEnd w:id="320"/>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在履行合同过程中，一方当事人因第三人的原因造成违约的，应当向对方当事人承担违约责任。一方当事人和第三人之间的纠纷，依照法律规定或者按照约定解决。</w:t>
      </w:r>
    </w:p>
    <w:p>
      <w:pPr>
        <w:rPr>
          <w:rFonts w:asciiTheme="minorEastAsia" w:hAnsiTheme="minorEastAsia" w:eastAsiaTheme="minorEastAsia"/>
          <w:b/>
          <w:sz w:val="24"/>
        </w:rPr>
      </w:pPr>
      <w:bookmarkStart w:id="321" w:name="_Toc234833113"/>
      <w:bookmarkStart w:id="322" w:name="_Toc9352901"/>
      <w:r>
        <w:rPr>
          <w:rFonts w:asciiTheme="minorEastAsia" w:hAnsiTheme="minorEastAsia" w:eastAsiaTheme="minorEastAsia"/>
          <w:b/>
          <w:sz w:val="24"/>
        </w:rPr>
        <w:t>23. 索赔</w:t>
      </w:r>
      <w:bookmarkEnd w:id="321"/>
      <w:bookmarkEnd w:id="322"/>
    </w:p>
    <w:p>
      <w:pPr>
        <w:rPr>
          <w:rFonts w:asciiTheme="minorEastAsia" w:hAnsiTheme="minorEastAsia" w:eastAsiaTheme="minorEastAsia"/>
          <w:b/>
          <w:sz w:val="24"/>
        </w:rPr>
      </w:pPr>
      <w:bookmarkStart w:id="323" w:name="_Toc234833114"/>
      <w:bookmarkStart w:id="324" w:name="_Toc9352902"/>
      <w:r>
        <w:rPr>
          <w:rFonts w:asciiTheme="minorEastAsia" w:hAnsiTheme="minorEastAsia" w:eastAsiaTheme="minorEastAsia"/>
          <w:sz w:val="24"/>
        </w:rPr>
        <w:t>23.1 承包人索赔的提出</w:t>
      </w:r>
      <w:bookmarkEnd w:id="323"/>
      <w:bookmarkEnd w:id="32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根据合同约定，承包人认为有权得到追加付款和（或）延长工期的，应按以下程序向发包人提出索赔：</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（1）承包人应在知道或应当知道索赔事件发生后28天内，向监理人递交索赔意向通知书，并说明发生索赔事件的事由。承包人未在前述28天内发出索赔意向通知书的，丧失要求追加付款和（或）延长工期的权利</w:t>
      </w:r>
      <w:r>
        <w:rPr>
          <w:rFonts w:hint="eastAsia" w:asciiTheme="minorEastAsia" w:hAnsiTheme="minorEastAsia" w:eastAsiaTheme="minorEastAsia"/>
          <w:sz w:val="24"/>
        </w:rPr>
        <w:t>；</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（2）承包人应在发出索赔意向通知书后28天内，向监理人正式递交索赔通知书。索赔通知书应详细说明索赔理由以及要求追加的付款金额和（或）延长的工期，并附必要的记录和证明材料；</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（3）索赔事件具有连续影响的，承包人应按合理时间间隔继续递交延续索赔通知，说明连续影响的实际情况和记录，列出累计的追加付款金额和（或）工期延长天数；</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（4）在索赔事件影响结束后的28天内，承包人应向监理人递交最终索赔通知书，说明最终要求索赔的追加付款金额和延长的工期，并附必要的记录和证明材料。</w:t>
      </w:r>
    </w:p>
    <w:p>
      <w:pPr>
        <w:rPr>
          <w:rFonts w:asciiTheme="minorEastAsia" w:hAnsiTheme="minorEastAsia" w:eastAsiaTheme="minorEastAsia"/>
          <w:b/>
          <w:sz w:val="24"/>
        </w:rPr>
      </w:pPr>
      <w:bookmarkStart w:id="325" w:name="_Toc234833115"/>
      <w:bookmarkStart w:id="326" w:name="_Toc9352903"/>
      <w:r>
        <w:rPr>
          <w:rFonts w:asciiTheme="minorEastAsia" w:hAnsiTheme="minorEastAsia" w:eastAsiaTheme="minorEastAsia"/>
          <w:sz w:val="24"/>
        </w:rPr>
        <w:t>23.2 承包人索赔处理程序</w:t>
      </w:r>
      <w:bookmarkEnd w:id="325"/>
      <w:bookmarkEnd w:id="32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（1）监理人收到承包人提交的索赔通知书后，应及时审查索赔通知书的内容、查验承包人的记录和证明材料，必要时监理人可要求承包人提交全部原始记录副本。</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（2）监理人应按第3.5款商定或确定追加的付款和（或）延长的工期，并在收到上述索赔通知书或有关索赔的进一步证明材料后的42天内，将索赔处理结果答复承包人。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（3）承包人接受索赔处理结果的，发包人应在作出索赔处理结果答复后28天内完成赔付。承包人不接受索赔处理结果的，按第24条的约定办理。</w:t>
      </w:r>
    </w:p>
    <w:p>
      <w:pPr>
        <w:rPr>
          <w:rFonts w:asciiTheme="minorEastAsia" w:hAnsiTheme="minorEastAsia" w:eastAsiaTheme="minorEastAsia"/>
          <w:b/>
          <w:sz w:val="24"/>
        </w:rPr>
      </w:pPr>
      <w:bookmarkStart w:id="327" w:name="_Toc234833116"/>
      <w:bookmarkStart w:id="328" w:name="_Toc9352904"/>
      <w:r>
        <w:rPr>
          <w:rFonts w:asciiTheme="minorEastAsia" w:hAnsiTheme="minorEastAsia" w:eastAsiaTheme="minorEastAsia"/>
          <w:sz w:val="24"/>
        </w:rPr>
        <w:t>23.3 承包人提出索赔的期限</w:t>
      </w:r>
      <w:bookmarkEnd w:id="327"/>
      <w:bookmarkEnd w:id="32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23.3.1 承包人按第17.5款的约定接受了竣工付款证书后，应被认为已无权再提出在合同工程接收证书颁发前所发生的任何索赔。</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23.3.2 承包人按第17.6款的约定提交的最终结清申请单中，只限于提出工程接收证书颁发后发生的索赔。提出索赔的期限自接受最终结清证书时终止。</w:t>
      </w:r>
    </w:p>
    <w:p>
      <w:pPr>
        <w:rPr>
          <w:rFonts w:asciiTheme="minorEastAsia" w:hAnsiTheme="minorEastAsia" w:eastAsiaTheme="minorEastAsia"/>
          <w:b/>
          <w:sz w:val="24"/>
        </w:rPr>
      </w:pPr>
      <w:bookmarkStart w:id="329" w:name="_Toc234833117"/>
      <w:bookmarkStart w:id="330" w:name="_Toc9352905"/>
      <w:r>
        <w:rPr>
          <w:rFonts w:asciiTheme="minorEastAsia" w:hAnsiTheme="minorEastAsia" w:eastAsiaTheme="minorEastAsia"/>
          <w:sz w:val="24"/>
        </w:rPr>
        <w:t>23.4 发包人的索赔</w:t>
      </w:r>
      <w:bookmarkEnd w:id="329"/>
      <w:bookmarkEnd w:id="330"/>
      <w:r>
        <w:rPr>
          <w:rFonts w:asciiTheme="minorEastAsia" w:hAnsiTheme="minorEastAsia" w:eastAsiaTheme="minorEastAsia"/>
          <w:sz w:val="24"/>
        </w:rPr>
        <w:t xml:space="preserve">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23.4.2 监理人按第3.5款商定或确定发包人从承包人处得到赔付的金额和（或）缺陷责任期的延长期。承包人应付给发包人的金额可从拟支付给承包人的合同价款中扣除，或由承包人以其他方式支付给发包人。</w:t>
      </w:r>
    </w:p>
    <w:p>
      <w:pPr>
        <w:rPr>
          <w:rFonts w:asciiTheme="minorEastAsia" w:hAnsiTheme="minorEastAsia" w:eastAsiaTheme="minorEastAsia"/>
          <w:b/>
          <w:sz w:val="24"/>
        </w:rPr>
      </w:pPr>
      <w:bookmarkStart w:id="331" w:name="_Toc234833118"/>
      <w:bookmarkStart w:id="332" w:name="_Toc9352906"/>
      <w:r>
        <w:rPr>
          <w:rFonts w:asciiTheme="minorEastAsia" w:hAnsiTheme="minorEastAsia" w:eastAsiaTheme="minorEastAsia"/>
          <w:b/>
          <w:sz w:val="24"/>
        </w:rPr>
        <w:t>24. 争议的解决</w:t>
      </w:r>
      <w:bookmarkEnd w:id="331"/>
      <w:bookmarkEnd w:id="332"/>
    </w:p>
    <w:p>
      <w:pPr>
        <w:rPr>
          <w:rFonts w:asciiTheme="minorEastAsia" w:hAnsiTheme="minorEastAsia" w:eastAsiaTheme="minorEastAsia"/>
          <w:b/>
          <w:sz w:val="24"/>
        </w:rPr>
      </w:pPr>
      <w:bookmarkStart w:id="333" w:name="_Toc234833119"/>
      <w:bookmarkStart w:id="334" w:name="_Toc9352907"/>
      <w:r>
        <w:rPr>
          <w:rFonts w:asciiTheme="minorEastAsia" w:hAnsiTheme="minorEastAsia" w:eastAsiaTheme="minorEastAsia"/>
          <w:sz w:val="24"/>
        </w:rPr>
        <w:t>24.1 争议的解决方式</w:t>
      </w:r>
      <w:bookmarkEnd w:id="333"/>
      <w:bookmarkEnd w:id="33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（1）向约定的仲裁委员会申请仲裁；</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（2）向有管辖权的人民法院提起诉讼。</w:t>
      </w:r>
    </w:p>
    <w:p>
      <w:pPr>
        <w:rPr>
          <w:rFonts w:asciiTheme="minorEastAsia" w:hAnsiTheme="minorEastAsia" w:eastAsiaTheme="minorEastAsia"/>
          <w:b/>
          <w:sz w:val="24"/>
        </w:rPr>
      </w:pPr>
      <w:bookmarkStart w:id="335" w:name="_Toc234833120"/>
      <w:bookmarkStart w:id="336" w:name="_Toc9352908"/>
      <w:r>
        <w:rPr>
          <w:rFonts w:asciiTheme="minorEastAsia" w:hAnsiTheme="minorEastAsia" w:eastAsiaTheme="minorEastAsia"/>
          <w:sz w:val="24"/>
        </w:rPr>
        <w:t>24.2 友好解决</w:t>
      </w:r>
      <w:bookmarkEnd w:id="335"/>
      <w:bookmarkEnd w:id="33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在提请争议评审、仲裁或者诉讼前，以及在争议评审、仲裁或诉讼过程中，发包人和承包人均可共同努力友好协商解决争议。</w:t>
      </w:r>
    </w:p>
    <w:p>
      <w:pPr>
        <w:rPr>
          <w:rFonts w:asciiTheme="minorEastAsia" w:hAnsiTheme="minorEastAsia" w:eastAsiaTheme="minorEastAsia"/>
          <w:b/>
          <w:sz w:val="24"/>
        </w:rPr>
      </w:pPr>
      <w:bookmarkStart w:id="337" w:name="_Toc234833121"/>
      <w:bookmarkStart w:id="338" w:name="_Toc9352909"/>
      <w:r>
        <w:rPr>
          <w:rFonts w:asciiTheme="minorEastAsia" w:hAnsiTheme="minorEastAsia" w:eastAsiaTheme="minorEastAsia"/>
          <w:sz w:val="24"/>
        </w:rPr>
        <w:t>24.3 争议评审</w:t>
      </w:r>
      <w:bookmarkEnd w:id="337"/>
      <w:bookmarkEnd w:id="33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24.3.1采用争议评审的，发包人和承包人应在开工日后的28天内或在争议发生后，协商成立争议评审组。争议评审组由有合同管理和工程实践经验的专家组成。</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24.3.2 合同双方的争议，应首先由申请人向争议评审组提交一份详细的评审申请报告，并附必要的文件、图纸和证明材料，申请人还应将上述报告的副本同时提交给被申请人和监理人。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24.3.3 被申请人在收到申请人评审申请报告副本后的28天内，向争议评审组提交一份答辩报告，并附证明材料。被申请人应将答辩报告的副本同时提交给申请人和监理人。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24.3.4 除专用合同条款另有约定外，争议评审组在收到合同双方报告后的14天内，邀请双方代表和有关人员举行调查会，向双方调查争议细节；必要时争议评审组可要求双方进一步提供补充材料。</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24.3.6 发包人和承包人接受评审意见的，由监理人根据评审意见拟定执行协议，经争议双方签字后作为合同的补充文件，并遵照执行。</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24.3.7 发包人或承包人不接受评审意见，并要求提交仲裁或提起诉讼的，应在收到评审意见后的14天内将仲裁或起诉意向书面通知另一方，并抄送监理人，但在仲裁或诉讼结束前应暂按总监理工程师的确定执行。</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jc w:val="center"/>
        <w:rPr>
          <w:b/>
          <w:sz w:val="44"/>
          <w:szCs w:val="44"/>
        </w:rPr>
      </w:pPr>
      <w:r>
        <w:rPr>
          <w:b/>
          <w:sz w:val="44"/>
          <w:szCs w:val="44"/>
        </w:rPr>
        <w:t>第二节  专用合同条款</w:t>
      </w:r>
    </w:p>
    <w:p>
      <w:pPr>
        <w:rPr>
          <w:sz w:val="24"/>
        </w:rPr>
      </w:pPr>
    </w:p>
    <w:p>
      <w:pPr>
        <w:rPr>
          <w:sz w:val="24"/>
        </w:rPr>
      </w:pPr>
    </w:p>
    <w:p>
      <w:pPr>
        <w:rPr>
          <w:sz w:val="24"/>
        </w:rPr>
      </w:pPr>
    </w:p>
    <w:p>
      <w:pPr>
        <w:pStyle w:val="26"/>
        <w:spacing w:line="360" w:lineRule="exact"/>
        <w:rPr>
          <w:rFonts w:ascii="仿宋_GB2312" w:hAnsi="宋体" w:eastAsia="仿宋_GB2312"/>
          <w:kern w:val="0"/>
          <w:sz w:val="24"/>
        </w:rPr>
      </w:pPr>
    </w:p>
    <w:p/>
    <w:p/>
    <w:p/>
    <w:p/>
    <w:p/>
    <w:p/>
    <w:p/>
    <w:p/>
    <w:p/>
    <w:p/>
    <w:p/>
    <w:p/>
    <w:p/>
    <w:p/>
    <w:p/>
    <w:p/>
    <w:p/>
    <w:p/>
    <w:p/>
    <w:p/>
    <w:p/>
    <w:p/>
    <w:p/>
    <w:p/>
    <w:p/>
    <w:p/>
    <w:p/>
    <w:p/>
    <w:p/>
    <w:p/>
    <w:p/>
    <w:p/>
    <w:p/>
    <w:p/>
    <w:p/>
    <w:p/>
    <w:p/>
    <w:p/>
    <w:p/>
    <w:p/>
    <w:p/>
    <w:p/>
    <w:p/>
    <w:p/>
    <w:p/>
    <w:p/>
    <w:p/>
    <w:p/>
    <w:p/>
    <w:p/>
    <w:p/>
    <w:p>
      <w:pPr>
        <w:jc w:val="center"/>
        <w:rPr>
          <w:rFonts w:asciiTheme="minorEastAsia" w:hAnsiTheme="minorEastAsia" w:eastAsiaTheme="minorEastAsia"/>
          <w:b/>
          <w:sz w:val="32"/>
          <w:szCs w:val="32"/>
        </w:rPr>
      </w:pPr>
      <w:r>
        <w:rPr>
          <w:rFonts w:asciiTheme="minorEastAsia" w:hAnsiTheme="minorEastAsia" w:eastAsiaTheme="minorEastAsia"/>
          <w:sz w:val="32"/>
          <w:szCs w:val="32"/>
        </w:rPr>
        <w:t>A. 公路工程专用合同条款</w:t>
      </w:r>
    </w:p>
    <w:p>
      <w:pPr>
        <w:rPr>
          <w:b/>
          <w:sz w:val="24"/>
        </w:rPr>
      </w:pPr>
    </w:p>
    <w:p>
      <w:pPr>
        <w:rPr>
          <w:rFonts w:asciiTheme="minorEastAsia" w:hAnsiTheme="minorEastAsia" w:eastAsiaTheme="minorEastAsia"/>
          <w:b/>
          <w:sz w:val="24"/>
        </w:rPr>
      </w:pPr>
      <w:bookmarkStart w:id="339" w:name="_Toc9352912"/>
      <w:bookmarkStart w:id="340" w:name="_Toc234833124"/>
      <w:r>
        <w:rPr>
          <w:rFonts w:asciiTheme="minorEastAsia" w:hAnsiTheme="minorEastAsia" w:eastAsiaTheme="minorEastAsia"/>
          <w:b/>
          <w:sz w:val="24"/>
        </w:rPr>
        <w:t>1. 一般约定</w:t>
      </w:r>
      <w:bookmarkEnd w:id="339"/>
      <w:bookmarkEnd w:id="340"/>
      <w:r>
        <w:rPr>
          <w:rFonts w:asciiTheme="minorEastAsia" w:hAnsiTheme="minorEastAsia" w:eastAsiaTheme="minorEastAsia"/>
          <w:b/>
          <w:sz w:val="24"/>
        </w:rPr>
        <w:tab/>
      </w:r>
    </w:p>
    <w:p>
      <w:pPr>
        <w:rPr>
          <w:rFonts w:asciiTheme="minorEastAsia" w:hAnsiTheme="minorEastAsia" w:eastAsiaTheme="minorEastAsia"/>
          <w:b/>
          <w:sz w:val="24"/>
        </w:rPr>
      </w:pPr>
      <w:bookmarkStart w:id="341" w:name="_Toc234833125"/>
      <w:bookmarkStart w:id="342" w:name="_Toc9352913"/>
      <w:r>
        <w:rPr>
          <w:rFonts w:asciiTheme="minorEastAsia" w:hAnsiTheme="minorEastAsia" w:eastAsiaTheme="minorEastAsia"/>
          <w:sz w:val="24"/>
        </w:rPr>
        <w:t>1.1</w:t>
      </w:r>
      <w:r>
        <w:rPr>
          <w:rFonts w:asciiTheme="minorEastAsia" w:hAnsiTheme="minorEastAsia" w:eastAsiaTheme="minorEastAsia"/>
          <w:sz w:val="24"/>
        </w:rPr>
        <w:tab/>
      </w:r>
      <w:r>
        <w:rPr>
          <w:rFonts w:asciiTheme="minorEastAsia" w:hAnsiTheme="minorEastAsia" w:eastAsiaTheme="minorEastAsia"/>
          <w:sz w:val="24"/>
        </w:rPr>
        <w:t>词语定义</w:t>
      </w:r>
      <w:bookmarkEnd w:id="341"/>
      <w:bookmarkEnd w:id="342"/>
    </w:p>
    <w:p>
      <w:pPr>
        <w:spacing w:line="400" w:lineRule="atLeast"/>
        <w:rPr>
          <w:rFonts w:asciiTheme="minorEastAsia" w:hAnsiTheme="minorEastAsia" w:eastAsiaTheme="minorEastAsia"/>
          <w:sz w:val="24"/>
        </w:rPr>
      </w:pPr>
      <w:r>
        <w:rPr>
          <w:rFonts w:asciiTheme="minorEastAsia" w:hAnsiTheme="minorEastAsia" w:eastAsiaTheme="minorEastAsia"/>
          <w:sz w:val="24"/>
        </w:rPr>
        <w:t>　　1.1.1 合同</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第1.1.1.6目细化为：</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技术规范：指本合同所约定的技术标准和要求，是合同文件的组成部分。通用合同条款中“技术标准和要求”一词具有相同含义。</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第1.1.1.8目细化为：</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5.1～表5.5）。</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本项补充第1.1.1.10目：</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1.1.1.10 补遗书：指发出招标文件之后由招标人向已取得招标文件的投标人发出的、编号的对招标文件所作的澄清、修改书。</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1.1.2 合同当事人和人员</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本项补充第1.1.2.8目：</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1.1.2.8 承包人项目总工：指由承包人书面委派常驻现场负责管理本合同工程的总工程师或技术总负责人。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1.1.3 工程和设备</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第1.1.3.4目细化为：</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单位工程：指在建设项目中，根据签订的合同，具有独立施工条件的工程。</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 xml:space="preserve">第1.1.3.10目细化为： </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永久占地：指为实施本合同工程而需要的一切永久占用的土地，包括公路两侧路权范围内的用地。</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第1.1.3.11目细化为：</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临时占地：指为实施本合同工程而需要的一切临时占用的土地，包括施工所用的临时支线、便道、便桥和现场的临时出入通道，以及生产（办公）、生活等临时设施用地等。</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本项补充第1.1.3.12目、第1.1.3.13目：</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1.1.3.12 分部工程：指在单位工程中，按结构部位、路段长度及施工特点或施工任务划分的若干个工程。</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1.1.3.13 分项工程：指在分部工程中，按不同的施工方法、材料、工序及路段长度等划分的若干个工程。</w:t>
      </w:r>
    </w:p>
    <w:p>
      <w:pPr>
        <w:spacing w:line="400" w:lineRule="atLeast"/>
        <w:ind w:firstLine="470" w:firstLineChars="196"/>
        <w:rPr>
          <w:rFonts w:asciiTheme="minorEastAsia" w:hAnsiTheme="minorEastAsia" w:eastAsiaTheme="minorEastAsia"/>
          <w:sz w:val="24"/>
        </w:rPr>
      </w:pPr>
      <w:bookmarkStart w:id="343" w:name="OLE_LINK18"/>
      <w:r>
        <w:rPr>
          <w:rFonts w:asciiTheme="minorEastAsia" w:hAnsiTheme="minorEastAsia" w:eastAsiaTheme="minorEastAsia"/>
          <w:sz w:val="24"/>
        </w:rPr>
        <w:t>1.1.6 其他</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本项补充第1.1.6.2目～第1.1.6.</w:t>
      </w:r>
      <w:r>
        <w:rPr>
          <w:rFonts w:hint="eastAsia" w:asciiTheme="minorEastAsia" w:hAnsiTheme="minorEastAsia" w:eastAsiaTheme="minorEastAsia"/>
          <w:sz w:val="24"/>
        </w:rPr>
        <w:t>9</w:t>
      </w:r>
      <w:r>
        <w:rPr>
          <w:rFonts w:asciiTheme="minorEastAsia" w:hAnsiTheme="minorEastAsia" w:eastAsiaTheme="minorEastAsia"/>
          <w:sz w:val="24"/>
        </w:rPr>
        <w:t>目：</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1.1.6.2 竣工验收：指《公路工程竣（交）工验收办法》中的竣工验收。通用合同条款中“国家验收”一词具有相同含义。</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1.1.6.3交工：指《公路工程竣（交）工验收办法》中的交工。通用合同条款中“竣工”一词具有相同含义。</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1.1.6.</w:t>
      </w:r>
      <w:r>
        <w:rPr>
          <w:rFonts w:hint="eastAsia" w:asciiTheme="minorEastAsia" w:hAnsiTheme="minorEastAsia" w:eastAsiaTheme="minorEastAsia"/>
          <w:sz w:val="24"/>
        </w:rPr>
        <w:t>4</w:t>
      </w:r>
      <w:r>
        <w:rPr>
          <w:rFonts w:asciiTheme="minorEastAsia" w:hAnsiTheme="minorEastAsia" w:eastAsiaTheme="minorEastAsia"/>
          <w:sz w:val="24"/>
        </w:rPr>
        <w:t>交工验收：指《公路工程竣（交）工验收办法》中的交工验收。通用合同条款中“竣工验收”一词具有相同含义。</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1.1.6.</w:t>
      </w:r>
      <w:r>
        <w:rPr>
          <w:rFonts w:hint="eastAsia" w:asciiTheme="minorEastAsia" w:hAnsiTheme="minorEastAsia" w:eastAsiaTheme="minorEastAsia"/>
          <w:sz w:val="24"/>
        </w:rPr>
        <w:t>5</w:t>
      </w:r>
      <w:r>
        <w:rPr>
          <w:rFonts w:asciiTheme="minorEastAsia" w:hAnsiTheme="minorEastAsia" w:eastAsiaTheme="minorEastAsia"/>
          <w:sz w:val="24"/>
        </w:rPr>
        <w:t>交工验收证书：指《公路工程竣（交）工验收办法》中的交工验收证书。通用合同条款中“工程接收证书”一词具有相同含义。</w:t>
      </w:r>
    </w:p>
    <w:bookmarkEnd w:id="343"/>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1.1.6.</w:t>
      </w:r>
      <w:r>
        <w:rPr>
          <w:rFonts w:hint="eastAsia" w:asciiTheme="minorEastAsia" w:hAnsiTheme="minorEastAsia" w:eastAsiaTheme="minorEastAsia"/>
          <w:sz w:val="24"/>
        </w:rPr>
        <w:t>6</w:t>
      </w:r>
      <w:r>
        <w:rPr>
          <w:rFonts w:asciiTheme="minorEastAsia" w:hAnsiTheme="minorEastAsia" w:eastAsiaTheme="minorEastAsia"/>
          <w:sz w:val="24"/>
        </w:rPr>
        <w:t>转包：指承包人违反法律和不履行合同规定的责任和义务，将中标工程全部委托或以专业分包的名义将中标工程肢解后全部委托给其他施工企业施工的行为。</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1.1.6.</w:t>
      </w:r>
      <w:r>
        <w:rPr>
          <w:rFonts w:hint="eastAsia" w:asciiTheme="minorEastAsia" w:hAnsiTheme="minorEastAsia" w:eastAsiaTheme="minorEastAsia"/>
          <w:sz w:val="24"/>
        </w:rPr>
        <w:t>7</w:t>
      </w:r>
      <w:r>
        <w:rPr>
          <w:rFonts w:asciiTheme="minorEastAsia" w:hAnsiTheme="minorEastAsia" w:eastAsiaTheme="minorEastAsia"/>
          <w:sz w:val="24"/>
        </w:rPr>
        <w:t>专业分包：指承包人与具有相应</w:t>
      </w:r>
      <w:r>
        <w:rPr>
          <w:rFonts w:hint="eastAsia" w:asciiTheme="minorEastAsia" w:hAnsiTheme="minorEastAsia" w:eastAsiaTheme="minorEastAsia"/>
          <w:sz w:val="24"/>
        </w:rPr>
        <w:t>资格</w:t>
      </w:r>
      <w:r>
        <w:rPr>
          <w:rFonts w:asciiTheme="minorEastAsia" w:hAnsiTheme="minorEastAsia" w:eastAsiaTheme="minorEastAsia"/>
          <w:sz w:val="24"/>
        </w:rPr>
        <w:t>的施工企业签订专业分包合同，由分包人承担承包人委托的分部工程、分项工程或适合专业化队伍施工的其他工程，整体结算，并能独立控制工程质量、施工进度、材料采购、生产安全的施工行为。</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1.1.6.</w:t>
      </w:r>
      <w:r>
        <w:rPr>
          <w:rFonts w:hint="eastAsia" w:asciiTheme="minorEastAsia" w:hAnsiTheme="minorEastAsia" w:eastAsiaTheme="minorEastAsia"/>
          <w:sz w:val="24"/>
        </w:rPr>
        <w:t>8</w:t>
      </w:r>
      <w:r>
        <w:rPr>
          <w:rFonts w:asciiTheme="minorEastAsia" w:hAnsiTheme="minorEastAsia" w:eastAsiaTheme="minorEastAsia"/>
          <w:sz w:val="24"/>
        </w:rPr>
        <w:t>劳务分包：指承包人与具有</w:t>
      </w:r>
      <w:r>
        <w:rPr>
          <w:rFonts w:hint="eastAsia" w:asciiTheme="minorEastAsia" w:hAnsiTheme="minorEastAsia" w:eastAsiaTheme="minorEastAsia"/>
          <w:sz w:val="24"/>
        </w:rPr>
        <w:t>施工</w:t>
      </w:r>
      <w:r>
        <w:rPr>
          <w:rFonts w:asciiTheme="minorEastAsia" w:hAnsiTheme="minorEastAsia" w:eastAsiaTheme="minorEastAsia"/>
          <w:sz w:val="24"/>
        </w:rPr>
        <w:t>劳务资质的劳务企业签订劳务分包合同，由劳务企业提供劳务人员及机具，由承包人统一组织施工、统一控制工程质量、施工进度、材料采购、生产安全的施工行为。</w:t>
      </w:r>
    </w:p>
    <w:p>
      <w:pPr>
        <w:spacing w:line="400" w:lineRule="atLeast"/>
        <w:ind w:firstLine="720" w:firstLineChars="300"/>
        <w:rPr>
          <w:rFonts w:asciiTheme="minorEastAsia" w:hAnsiTheme="minorEastAsia" w:eastAsiaTheme="minorEastAsia"/>
          <w:sz w:val="24"/>
        </w:rPr>
      </w:pPr>
      <w:r>
        <w:rPr>
          <w:rFonts w:asciiTheme="minorEastAsia" w:hAnsiTheme="minorEastAsia" w:eastAsiaTheme="minorEastAsia"/>
          <w:sz w:val="24"/>
        </w:rPr>
        <w:t>1.1.6.</w:t>
      </w:r>
      <w:r>
        <w:rPr>
          <w:rFonts w:hint="eastAsia" w:asciiTheme="minorEastAsia" w:hAnsiTheme="minorEastAsia" w:eastAsiaTheme="minorEastAsia"/>
          <w:sz w:val="24"/>
        </w:rPr>
        <w:t>9雇用</w:t>
      </w:r>
      <w:r>
        <w:rPr>
          <w:rFonts w:asciiTheme="minorEastAsia" w:hAnsiTheme="minorEastAsia" w:eastAsiaTheme="minorEastAsia"/>
          <w:sz w:val="24"/>
        </w:rPr>
        <w:t>民工：指承包人与具有相应劳动能力的自然人签订劳动合同，由承包人统一组织管理，从事分项工程施工或配套工程施工的行为。</w:t>
      </w:r>
    </w:p>
    <w:p>
      <w:pPr>
        <w:rPr>
          <w:rFonts w:asciiTheme="minorEastAsia" w:hAnsiTheme="minorEastAsia" w:eastAsiaTheme="minorEastAsia"/>
          <w:b/>
          <w:sz w:val="24"/>
        </w:rPr>
      </w:pPr>
      <w:bookmarkStart w:id="344" w:name="_Toc234833126"/>
      <w:bookmarkStart w:id="345" w:name="_Toc9352914"/>
      <w:r>
        <w:rPr>
          <w:rFonts w:asciiTheme="minorEastAsia" w:hAnsiTheme="minorEastAsia" w:eastAsiaTheme="minorEastAsia"/>
          <w:sz w:val="24"/>
        </w:rPr>
        <w:t>1.4 合同文件的优先顺序</w:t>
      </w:r>
      <w:bookmarkEnd w:id="344"/>
      <w:bookmarkEnd w:id="345"/>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本款约定为：</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组成合同的各项文件应互相解释，互为说明。除项目专用合同条款另有约定外，解释合同文件的优先顺序如下：</w:t>
      </w:r>
    </w:p>
    <w:p>
      <w:pPr>
        <w:spacing w:line="400" w:lineRule="atLeast"/>
        <w:rPr>
          <w:rFonts w:asciiTheme="minorEastAsia" w:hAnsiTheme="minorEastAsia" w:eastAsiaTheme="minorEastAsia"/>
          <w:sz w:val="24"/>
        </w:rPr>
      </w:pPr>
      <w:r>
        <w:rPr>
          <w:rFonts w:asciiTheme="minorEastAsia" w:hAnsiTheme="minorEastAsia" w:eastAsiaTheme="minorEastAsia"/>
          <w:sz w:val="24"/>
        </w:rPr>
        <w:t>　　（1）合同协议书及各种合同附件（含评标期间和合同谈判过程中的澄清文件和补充资料）；</w:t>
      </w:r>
    </w:p>
    <w:p>
      <w:pPr>
        <w:spacing w:line="400" w:lineRule="atLeast"/>
        <w:rPr>
          <w:rFonts w:asciiTheme="minorEastAsia" w:hAnsiTheme="minorEastAsia" w:eastAsiaTheme="minorEastAsia"/>
          <w:sz w:val="24"/>
        </w:rPr>
      </w:pPr>
      <w:r>
        <w:rPr>
          <w:rFonts w:asciiTheme="minorEastAsia" w:hAnsiTheme="minorEastAsia" w:eastAsiaTheme="minorEastAsia"/>
          <w:sz w:val="24"/>
        </w:rPr>
        <w:t>　　（2）中标通知书；</w:t>
      </w:r>
    </w:p>
    <w:p>
      <w:pPr>
        <w:spacing w:line="400" w:lineRule="atLeast"/>
        <w:rPr>
          <w:rFonts w:asciiTheme="minorEastAsia" w:hAnsiTheme="minorEastAsia" w:eastAsiaTheme="minorEastAsia"/>
          <w:sz w:val="24"/>
        </w:rPr>
      </w:pPr>
      <w:r>
        <w:rPr>
          <w:rFonts w:asciiTheme="minorEastAsia" w:hAnsiTheme="minorEastAsia" w:eastAsiaTheme="minorEastAsia"/>
          <w:sz w:val="24"/>
        </w:rPr>
        <w:t>　　（3）投标函及投标函附录；</w:t>
      </w:r>
    </w:p>
    <w:p>
      <w:pPr>
        <w:spacing w:line="400" w:lineRule="atLeast"/>
        <w:rPr>
          <w:rFonts w:asciiTheme="minorEastAsia" w:hAnsiTheme="minorEastAsia" w:eastAsiaTheme="minorEastAsia"/>
          <w:sz w:val="24"/>
        </w:rPr>
      </w:pPr>
      <w:r>
        <w:rPr>
          <w:rFonts w:asciiTheme="minorEastAsia" w:hAnsiTheme="minorEastAsia" w:eastAsiaTheme="minorEastAsia"/>
          <w:sz w:val="24"/>
        </w:rPr>
        <w:t>　　（4）项目专用合同条款；</w:t>
      </w:r>
    </w:p>
    <w:p>
      <w:pPr>
        <w:spacing w:line="400" w:lineRule="atLeast"/>
        <w:rPr>
          <w:rFonts w:asciiTheme="minorEastAsia" w:hAnsiTheme="minorEastAsia" w:eastAsiaTheme="minorEastAsia"/>
          <w:sz w:val="24"/>
        </w:rPr>
      </w:pPr>
      <w:r>
        <w:rPr>
          <w:rFonts w:asciiTheme="minorEastAsia" w:hAnsiTheme="minorEastAsia" w:eastAsiaTheme="minorEastAsia"/>
          <w:sz w:val="24"/>
        </w:rPr>
        <w:t>　　（5）公路工程专用合同条款；</w:t>
      </w:r>
    </w:p>
    <w:p>
      <w:pPr>
        <w:spacing w:line="400" w:lineRule="atLeast"/>
        <w:ind w:firstLine="480"/>
        <w:rPr>
          <w:rFonts w:asciiTheme="minorEastAsia" w:hAnsiTheme="minorEastAsia" w:eastAsiaTheme="minorEastAsia"/>
          <w:sz w:val="24"/>
        </w:rPr>
      </w:pPr>
      <w:r>
        <w:rPr>
          <w:rFonts w:asciiTheme="minorEastAsia" w:hAnsiTheme="minorEastAsia" w:eastAsiaTheme="minorEastAsia"/>
          <w:sz w:val="24"/>
        </w:rPr>
        <w:t>（6）通用合同条款；</w:t>
      </w:r>
    </w:p>
    <w:p>
      <w:pPr>
        <w:spacing w:line="400" w:lineRule="atLeast"/>
        <w:ind w:firstLine="480"/>
        <w:rPr>
          <w:rFonts w:asciiTheme="minorEastAsia" w:hAnsiTheme="minorEastAsia" w:eastAsiaTheme="minorEastAsia"/>
          <w:sz w:val="24"/>
        </w:rPr>
      </w:pPr>
      <w:r>
        <w:rPr>
          <w:rFonts w:asciiTheme="minorEastAsia" w:hAnsiTheme="minorEastAsia" w:eastAsiaTheme="minorEastAsia"/>
          <w:sz w:val="24"/>
        </w:rPr>
        <w:t>（7）</w:t>
      </w:r>
      <w:r>
        <w:rPr>
          <w:rFonts w:hint="eastAsia" w:asciiTheme="minorEastAsia" w:hAnsiTheme="minorEastAsia" w:eastAsiaTheme="minorEastAsia"/>
          <w:sz w:val="24"/>
        </w:rPr>
        <w:t>工程量</w:t>
      </w:r>
      <w:r>
        <w:rPr>
          <w:rFonts w:asciiTheme="minorEastAsia" w:hAnsiTheme="minorEastAsia" w:eastAsiaTheme="minorEastAsia"/>
          <w:sz w:val="24"/>
        </w:rPr>
        <w:t>清单计量规则；</w:t>
      </w:r>
    </w:p>
    <w:p>
      <w:pPr>
        <w:spacing w:line="400" w:lineRule="atLeast"/>
        <w:rPr>
          <w:rFonts w:asciiTheme="minorEastAsia" w:hAnsiTheme="minorEastAsia" w:eastAsiaTheme="minorEastAsia"/>
          <w:sz w:val="24"/>
        </w:rPr>
      </w:pPr>
      <w:r>
        <w:rPr>
          <w:rFonts w:asciiTheme="minorEastAsia" w:hAnsiTheme="minorEastAsia" w:eastAsiaTheme="minorEastAsia"/>
          <w:sz w:val="24"/>
        </w:rPr>
        <w:t>　　（8）技术规范；</w:t>
      </w:r>
    </w:p>
    <w:p>
      <w:pPr>
        <w:spacing w:line="400" w:lineRule="atLeast"/>
        <w:rPr>
          <w:rFonts w:asciiTheme="minorEastAsia" w:hAnsiTheme="minorEastAsia" w:eastAsiaTheme="minorEastAsia"/>
          <w:sz w:val="24"/>
        </w:rPr>
      </w:pPr>
      <w:r>
        <w:rPr>
          <w:rFonts w:asciiTheme="minorEastAsia" w:hAnsiTheme="minorEastAsia" w:eastAsiaTheme="minorEastAsia"/>
          <w:sz w:val="24"/>
        </w:rPr>
        <w:t>　　（9）图纸；</w:t>
      </w:r>
    </w:p>
    <w:p>
      <w:pPr>
        <w:spacing w:line="400" w:lineRule="atLeast"/>
        <w:rPr>
          <w:rFonts w:asciiTheme="minorEastAsia" w:hAnsiTheme="minorEastAsia" w:eastAsiaTheme="minorEastAsia"/>
          <w:sz w:val="24"/>
        </w:rPr>
      </w:pPr>
      <w:r>
        <w:rPr>
          <w:rFonts w:asciiTheme="minorEastAsia" w:hAnsiTheme="minorEastAsia" w:eastAsiaTheme="minorEastAsia"/>
          <w:sz w:val="24"/>
        </w:rPr>
        <w:t>　　（10）已标价工程量清单；</w:t>
      </w:r>
    </w:p>
    <w:p>
      <w:pPr>
        <w:spacing w:line="400" w:lineRule="atLeast"/>
        <w:rPr>
          <w:rFonts w:asciiTheme="minorEastAsia" w:hAnsiTheme="minorEastAsia" w:eastAsiaTheme="minorEastAsia"/>
          <w:sz w:val="24"/>
        </w:rPr>
      </w:pPr>
      <w:r>
        <w:rPr>
          <w:rFonts w:asciiTheme="minorEastAsia" w:hAnsiTheme="minorEastAsia" w:eastAsiaTheme="minorEastAsia"/>
          <w:sz w:val="24"/>
        </w:rPr>
        <w:t>　　（11）承包人有关人员、设备投入的承诺及投标文件中的施工组织设计；</w:t>
      </w:r>
    </w:p>
    <w:p>
      <w:pPr>
        <w:spacing w:line="400" w:lineRule="atLeast"/>
        <w:rPr>
          <w:rFonts w:asciiTheme="minorEastAsia" w:hAnsiTheme="minorEastAsia" w:eastAsiaTheme="minorEastAsia"/>
          <w:sz w:val="24"/>
        </w:rPr>
      </w:pPr>
      <w:r>
        <w:rPr>
          <w:rFonts w:asciiTheme="minorEastAsia" w:hAnsiTheme="minorEastAsia" w:eastAsiaTheme="minorEastAsia"/>
          <w:sz w:val="24"/>
        </w:rPr>
        <w:t>　　（12）其他合同文件。</w:t>
      </w:r>
    </w:p>
    <w:p>
      <w:pPr>
        <w:rPr>
          <w:rFonts w:asciiTheme="minorEastAsia" w:hAnsiTheme="minorEastAsia" w:eastAsiaTheme="minorEastAsia"/>
          <w:b/>
          <w:sz w:val="24"/>
        </w:rPr>
      </w:pPr>
      <w:bookmarkStart w:id="346" w:name="_Toc234833127"/>
      <w:bookmarkStart w:id="347" w:name="_Toc9352915"/>
      <w:r>
        <w:rPr>
          <w:rFonts w:asciiTheme="minorEastAsia" w:hAnsiTheme="minorEastAsia" w:eastAsiaTheme="minorEastAsia"/>
          <w:sz w:val="24"/>
        </w:rPr>
        <w:t>1.5 合同协议书</w:t>
      </w:r>
      <w:bookmarkEnd w:id="346"/>
      <w:bookmarkEnd w:id="347"/>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本款补充：</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制备本合同文件的费用由发包人承担。在合同协议书签订并生效之前，投标函和中标通知书将</w:t>
      </w:r>
      <w:r>
        <w:rPr>
          <w:rFonts w:hint="eastAsia" w:asciiTheme="minorEastAsia" w:hAnsiTheme="minorEastAsia" w:eastAsiaTheme="minorEastAsia"/>
          <w:sz w:val="24"/>
        </w:rPr>
        <w:t>对双方具有约束力</w:t>
      </w:r>
      <w:r>
        <w:rPr>
          <w:rFonts w:asciiTheme="minorEastAsia" w:hAnsiTheme="minorEastAsia" w:eastAsiaTheme="minorEastAsia"/>
          <w:sz w:val="24"/>
        </w:rPr>
        <w:t>。</w:t>
      </w:r>
    </w:p>
    <w:p>
      <w:pPr>
        <w:rPr>
          <w:rFonts w:asciiTheme="minorEastAsia" w:hAnsiTheme="minorEastAsia" w:eastAsiaTheme="minorEastAsia"/>
          <w:b/>
          <w:sz w:val="24"/>
        </w:rPr>
      </w:pPr>
      <w:bookmarkStart w:id="348" w:name="_Toc9352916"/>
      <w:bookmarkStart w:id="349" w:name="_Toc234833128"/>
      <w:r>
        <w:rPr>
          <w:rFonts w:asciiTheme="minorEastAsia" w:hAnsiTheme="minorEastAsia" w:eastAsiaTheme="minorEastAsia"/>
          <w:sz w:val="24"/>
        </w:rPr>
        <w:t>1.6 图纸和承包人文件</w:t>
      </w:r>
      <w:bookmarkEnd w:id="348"/>
      <w:bookmarkEnd w:id="349"/>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1.6.1 图纸的提供</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本项细化为：</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监理人应在发出中标通知书之后42天内，向承包人免费提供由发包人或其委托的设计单位设计的施工图纸、技术规范和其他技术资料2份，并向承包人进行技术交底。承包人需要更多份数时，应自费复制。由于发包人未按时提供图纸造成工期延误的，按第11.3款的约定办理。</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1.6.2 承包人提供的文件</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本项细化为：</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有下列情形之一的，承包人应免费向监理人提交相关部分工程的施工图纸3份，并附必要的计算书、技术资料，或施工工艺图、设备安装图及安装设备的使用和维护手册各2份供监理人批准。</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（1）为使第1.6.1项所述的施工图纸适合于经施工测量后的纵、横断面；</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（2）为使第1.6.1项所述的施工图纸适合于现场具体地形；</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（3）为使第1.6.1项所述的施工图纸适合于因尺寸与位置变化而引起局部变更；</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（4）由于合同要求与施工需要。</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此类图纸应按监理人规定的格式和图幅绘制。监理人在收到由承包人绘制的上述工程、工艺图纸、计算书和有关技术资料后14天内应予批准或提出修改要求，承包人应按监理人提出的要求</w:t>
      </w:r>
      <w:r>
        <w:rPr>
          <w:rFonts w:hint="eastAsia" w:asciiTheme="minorEastAsia" w:hAnsiTheme="minorEastAsia" w:eastAsiaTheme="minorEastAsia"/>
          <w:sz w:val="24"/>
        </w:rPr>
        <w:t>作出</w:t>
      </w:r>
      <w:r>
        <w:rPr>
          <w:rFonts w:asciiTheme="minorEastAsia" w:hAnsiTheme="minorEastAsia" w:eastAsiaTheme="minorEastAsia"/>
          <w:sz w:val="24"/>
        </w:rPr>
        <w:t>修改，重新向监理人提交，监理人应在7天内批准或提出进一步的修改意见。</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1.6.4 图纸的错误</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本项细化为：</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当承包人在查阅合同文件或在本合同工程实施过程中，发现有关的工程设计、技术规范、图纸或其他资料中的任何差错、遗漏或缺陷后，应及时通知监理人。监理人接到该通知后，应立即就此</w:t>
      </w:r>
      <w:r>
        <w:rPr>
          <w:rFonts w:hint="eastAsia" w:asciiTheme="minorEastAsia" w:hAnsiTheme="minorEastAsia" w:eastAsiaTheme="minorEastAsia"/>
          <w:sz w:val="24"/>
        </w:rPr>
        <w:t>作</w:t>
      </w:r>
      <w:r>
        <w:rPr>
          <w:rFonts w:asciiTheme="minorEastAsia" w:hAnsiTheme="minorEastAsia" w:eastAsiaTheme="minorEastAsia"/>
          <w:sz w:val="24"/>
        </w:rPr>
        <w:t>出决定，并通知承包人和发包人。</w:t>
      </w:r>
    </w:p>
    <w:p>
      <w:pPr>
        <w:rPr>
          <w:rFonts w:asciiTheme="minorEastAsia" w:hAnsiTheme="minorEastAsia" w:eastAsiaTheme="minorEastAsia"/>
          <w:b/>
          <w:sz w:val="24"/>
        </w:rPr>
      </w:pPr>
      <w:bookmarkStart w:id="350" w:name="_Toc9352917"/>
      <w:bookmarkStart w:id="351" w:name="_Toc234833129"/>
      <w:r>
        <w:rPr>
          <w:rFonts w:asciiTheme="minorEastAsia" w:hAnsiTheme="minorEastAsia" w:eastAsiaTheme="minorEastAsia"/>
          <w:sz w:val="24"/>
        </w:rPr>
        <w:t>1.9 严禁贿赂</w:t>
      </w:r>
      <w:bookmarkEnd w:id="350"/>
      <w:bookmarkEnd w:id="351"/>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本款补充：</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其上述行为造成的工程损害、发包人的经济损失等承担一切责任，并予赔偿。情节严重者，发包人有权终止承包人在本合同项下的承包。</w:t>
      </w:r>
    </w:p>
    <w:p>
      <w:pPr>
        <w:rPr>
          <w:rFonts w:asciiTheme="minorEastAsia" w:hAnsiTheme="minorEastAsia" w:eastAsiaTheme="minorEastAsia"/>
          <w:b/>
        </w:rPr>
      </w:pPr>
      <w:bookmarkStart w:id="352" w:name="_Toc234833130"/>
      <w:bookmarkStart w:id="353" w:name="_Toc9352918"/>
      <w:r>
        <w:rPr>
          <w:rFonts w:asciiTheme="minorEastAsia" w:hAnsiTheme="minorEastAsia" w:eastAsiaTheme="minorEastAsia"/>
          <w:b/>
        </w:rPr>
        <w:t>2. 发包人义务</w:t>
      </w:r>
      <w:bookmarkEnd w:id="352"/>
      <w:bookmarkEnd w:id="353"/>
    </w:p>
    <w:p>
      <w:pPr>
        <w:rPr>
          <w:rFonts w:asciiTheme="minorEastAsia" w:hAnsiTheme="minorEastAsia" w:eastAsiaTheme="minorEastAsia"/>
          <w:b/>
          <w:sz w:val="24"/>
        </w:rPr>
      </w:pPr>
      <w:bookmarkStart w:id="354" w:name="_Toc234833131"/>
      <w:bookmarkStart w:id="355" w:name="_Toc9352919"/>
      <w:r>
        <w:rPr>
          <w:rFonts w:asciiTheme="minorEastAsia" w:hAnsiTheme="minorEastAsia" w:eastAsiaTheme="minorEastAsia"/>
          <w:sz w:val="24"/>
        </w:rPr>
        <w:t>2.3 提供施工场地</w:t>
      </w:r>
      <w:bookmarkEnd w:id="354"/>
      <w:bookmarkEnd w:id="355"/>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本款补充：</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发包人负责办理永久占地的征用及与之有关的拆迁赔偿手续并承担相关费用。承包人在按第10条规定提交施工进度计划的同时，应向监理人提交一份按施工先后次序所需的永久占地计划。监理人应在收到此计划后的14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以及拆迁赔偿手续，通知承包人使用，以使承包人能够连续不间断地施工。由于承包人施工考虑不周或措施不当等原因而造成的超计划占地或拆迁等所发生的征用和赔偿费用，应由承包人承担。</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由于发包人未能按照本项规定办妥永久占地征用手续，影响承包人及时使用永久占地造成的费用增加和（或）工期延误应由发包人承担。由于承包人未能按照本项规定提交占地计划，影响发包人办理永久占地征用手续造成的费用增加和（或）工期延误由承包人承担。</w:t>
      </w:r>
    </w:p>
    <w:p>
      <w:pPr>
        <w:rPr>
          <w:rFonts w:asciiTheme="minorEastAsia" w:hAnsiTheme="minorEastAsia" w:eastAsiaTheme="minorEastAsia"/>
          <w:b/>
        </w:rPr>
      </w:pPr>
      <w:bookmarkStart w:id="356" w:name="_Toc234833132"/>
      <w:bookmarkStart w:id="357" w:name="_Toc9352920"/>
      <w:r>
        <w:rPr>
          <w:rFonts w:asciiTheme="minorEastAsia" w:hAnsiTheme="minorEastAsia" w:eastAsiaTheme="minorEastAsia"/>
          <w:b/>
        </w:rPr>
        <w:t>3. 监理人</w:t>
      </w:r>
      <w:bookmarkEnd w:id="356"/>
      <w:bookmarkEnd w:id="357"/>
    </w:p>
    <w:p>
      <w:pPr>
        <w:rPr>
          <w:rFonts w:asciiTheme="minorEastAsia" w:hAnsiTheme="minorEastAsia" w:eastAsiaTheme="minorEastAsia"/>
          <w:b/>
          <w:sz w:val="24"/>
        </w:rPr>
      </w:pPr>
      <w:bookmarkStart w:id="358" w:name="_Toc234833133"/>
      <w:bookmarkStart w:id="359" w:name="_Toc9352921"/>
      <w:r>
        <w:rPr>
          <w:rFonts w:asciiTheme="minorEastAsia" w:hAnsiTheme="minorEastAsia" w:eastAsiaTheme="minorEastAsia"/>
          <w:sz w:val="24"/>
        </w:rPr>
        <w:t>3.1 监理人的职责和权力</w:t>
      </w:r>
      <w:bookmarkEnd w:id="358"/>
      <w:bookmarkEnd w:id="359"/>
      <w:r>
        <w:rPr>
          <w:rFonts w:asciiTheme="minorEastAsia" w:hAnsiTheme="minorEastAsia" w:eastAsiaTheme="minorEastAsia"/>
          <w:sz w:val="24"/>
        </w:rPr>
        <w:t xml:space="preserve">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第3.1.1项补充：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监理人在行使下列权力前需要经发包人事先批准：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（1）根据第4.3款，同意分包本工程的某些</w:t>
      </w:r>
      <w:r>
        <w:rPr>
          <w:rFonts w:hint="eastAsia" w:asciiTheme="minorEastAsia" w:hAnsiTheme="minorEastAsia" w:eastAsiaTheme="minorEastAsia"/>
          <w:sz w:val="24"/>
        </w:rPr>
        <w:t>非</w:t>
      </w:r>
      <w:r>
        <w:rPr>
          <w:rFonts w:asciiTheme="minorEastAsia" w:hAnsiTheme="minorEastAsia" w:eastAsiaTheme="minorEastAsia"/>
          <w:sz w:val="24"/>
        </w:rPr>
        <w:t>关键性工作或者适合专业化队伍施工的专项工程；</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（2）确定第4.11款下产生的费用增加额；</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（3）根据第11.1款、第12.3款、第12.4款发布开工通知、暂停施工指示或复工通知；</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（4）决定第11.3款、第11.4款下的工期延长；</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（5）审查批准技术</w:t>
      </w:r>
      <w:r>
        <w:rPr>
          <w:rFonts w:hint="eastAsia" w:asciiTheme="minorEastAsia" w:hAnsiTheme="minorEastAsia" w:eastAsiaTheme="minorEastAsia"/>
          <w:sz w:val="24"/>
        </w:rPr>
        <w:t>方案</w:t>
      </w:r>
      <w:r>
        <w:rPr>
          <w:rFonts w:asciiTheme="minorEastAsia" w:hAnsiTheme="minorEastAsia" w:eastAsiaTheme="minorEastAsia"/>
          <w:sz w:val="24"/>
        </w:rPr>
        <w:t>或设计的变更；</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（6）根据第15.3款发出的变更指示，其单项工程变更或累计变更涉及的金额超过了项目专用合同条款数据表中规定的金额；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（7）确定第15.4款下变更工作的单价；</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（8）按照第15.6款决定有关暂列金额的使用；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（9）确定第15.8款下的暂估价金额；</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（10）确定第23.1款下的索赔额。</w:t>
      </w:r>
    </w:p>
    <w:p>
      <w:pPr>
        <w:spacing w:line="44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如果发生紧急情况，监理人认为将造成人员伤亡，或危及本工程或邻近的财产需立即采取行动，监理人有权在未征得发包人的批准的情况下发布处理紧急情况所必需的指令，承包人应予执行，由此造成的费用增加由监理人按第3.5款商定或确定。</w:t>
      </w:r>
    </w:p>
    <w:p>
      <w:pPr>
        <w:rPr>
          <w:rFonts w:asciiTheme="minorEastAsia" w:hAnsiTheme="minorEastAsia" w:eastAsiaTheme="minorEastAsia"/>
          <w:b/>
          <w:sz w:val="24"/>
        </w:rPr>
      </w:pPr>
      <w:bookmarkStart w:id="360" w:name="_Toc234833134"/>
      <w:bookmarkStart w:id="361" w:name="_Toc9352922"/>
      <w:r>
        <w:rPr>
          <w:rFonts w:asciiTheme="minorEastAsia" w:hAnsiTheme="minorEastAsia" w:eastAsiaTheme="minorEastAsia"/>
          <w:sz w:val="24"/>
        </w:rPr>
        <w:t>3.5</w:t>
      </w:r>
      <w:r>
        <w:rPr>
          <w:rFonts w:asciiTheme="minorEastAsia" w:hAnsiTheme="minorEastAsia" w:eastAsiaTheme="minorEastAsia"/>
          <w:sz w:val="24"/>
        </w:rPr>
        <w:tab/>
      </w:r>
      <w:r>
        <w:rPr>
          <w:rFonts w:asciiTheme="minorEastAsia" w:hAnsiTheme="minorEastAsia" w:eastAsiaTheme="minorEastAsia"/>
          <w:sz w:val="24"/>
        </w:rPr>
        <w:t>商定或确定</w:t>
      </w:r>
      <w:bookmarkEnd w:id="360"/>
      <w:bookmarkEnd w:id="361"/>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第3.5.1项补充：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如果这项商定或确定导致费用增加和（或）工期延长，或者涉及确定变更工程的价格，则总监理工程师在发出通知前，应征得发包人的同意。</w:t>
      </w:r>
    </w:p>
    <w:p>
      <w:pPr>
        <w:rPr>
          <w:rFonts w:asciiTheme="minorEastAsia" w:hAnsiTheme="minorEastAsia" w:eastAsiaTheme="minorEastAsia"/>
          <w:b/>
          <w:sz w:val="24"/>
        </w:rPr>
      </w:pPr>
      <w:bookmarkStart w:id="362" w:name="_Toc234833135"/>
      <w:bookmarkStart w:id="363" w:name="_Toc9352923"/>
      <w:r>
        <w:rPr>
          <w:rFonts w:asciiTheme="minorEastAsia" w:hAnsiTheme="minorEastAsia" w:eastAsiaTheme="minorEastAsia"/>
          <w:b/>
          <w:sz w:val="24"/>
        </w:rPr>
        <w:t>4. 承包人</w:t>
      </w:r>
      <w:bookmarkEnd w:id="362"/>
      <w:bookmarkEnd w:id="363"/>
    </w:p>
    <w:p>
      <w:pPr>
        <w:rPr>
          <w:rFonts w:asciiTheme="minorEastAsia" w:hAnsiTheme="minorEastAsia" w:eastAsiaTheme="minorEastAsia"/>
          <w:b/>
          <w:sz w:val="24"/>
        </w:rPr>
      </w:pPr>
      <w:bookmarkStart w:id="364" w:name="_Toc234833136"/>
      <w:bookmarkStart w:id="365" w:name="_Toc9352924"/>
      <w:r>
        <w:rPr>
          <w:rFonts w:asciiTheme="minorEastAsia" w:hAnsiTheme="minorEastAsia" w:eastAsiaTheme="minorEastAsia"/>
          <w:sz w:val="24"/>
        </w:rPr>
        <w:t>4.1 承包人的一般义务</w:t>
      </w:r>
      <w:bookmarkEnd w:id="364"/>
      <w:bookmarkEnd w:id="365"/>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 xml:space="preserve">4.1.9 工程的维护和照管 </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本项细化为：</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在承包人负责照管与维护期间，如果本工程或材料、设备等发生损失或损害，除不可抗力原因之外，承包人均应自费弥补，并达到合同要求。承包人还应对按第19条规定而实施作业过程中由承包人造成的对工程的任何损失或损害负责。</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4.1.10 其他义务</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本项细化为：</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（1） 临时占地由承包人向当地政府土地管理部门申请，并办理租用手续，承包人按有关规定直接支付其费用，发包人对此将予以协调。</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临时占地范围包括承包人驻地的办公室、食堂、宿舍、道路和机械设备停放场、材料堆放场地、弃土场、预制场、拌和场、仓库、进场临时道路、临时便道、便桥等。承包人应在</w:t>
      </w:r>
      <w:r>
        <w:rPr>
          <w:rFonts w:hint="eastAsia" w:asciiTheme="minorEastAsia" w:hAnsiTheme="minorEastAsia" w:eastAsiaTheme="minorEastAsia"/>
          <w:sz w:val="24"/>
        </w:rPr>
        <w:t>“</w:t>
      </w:r>
      <w:r>
        <w:rPr>
          <w:rFonts w:asciiTheme="minorEastAsia" w:hAnsiTheme="minorEastAsia" w:eastAsiaTheme="minorEastAsia"/>
          <w:sz w:val="24"/>
        </w:rPr>
        <w:t>临时占地计划表</w:t>
      </w:r>
      <w:r>
        <w:rPr>
          <w:rFonts w:hint="eastAsia" w:asciiTheme="minorEastAsia" w:hAnsiTheme="minorEastAsia" w:eastAsiaTheme="minorEastAsia"/>
          <w:sz w:val="24"/>
        </w:rPr>
        <w:t>”</w:t>
      </w:r>
      <w:r>
        <w:rPr>
          <w:rFonts w:asciiTheme="minorEastAsia" w:hAnsiTheme="minorEastAsia" w:eastAsiaTheme="minorEastAsia"/>
          <w:sz w:val="24"/>
        </w:rPr>
        <w:t>范围内按实际需要与先后次序，提出具体计划报监理人同意，并报发包人。</w:t>
      </w:r>
      <w:r>
        <w:rPr>
          <w:rFonts w:hint="eastAsia" w:asciiTheme="minorEastAsia" w:hAnsiTheme="minorEastAsia" w:eastAsiaTheme="minorEastAsia"/>
          <w:sz w:val="24"/>
        </w:rPr>
        <w:t>临时占地</w:t>
      </w:r>
      <w:r>
        <w:rPr>
          <w:rFonts w:asciiTheme="minorEastAsia" w:hAnsiTheme="minorEastAsia" w:eastAsiaTheme="minorEastAsia"/>
          <w:sz w:val="24"/>
        </w:rPr>
        <w:t>的面积和使用期应满足工程需要</w:t>
      </w:r>
      <w:r>
        <w:rPr>
          <w:rFonts w:hint="eastAsia" w:asciiTheme="minorEastAsia" w:hAnsiTheme="minorEastAsia" w:eastAsiaTheme="minorEastAsia"/>
          <w:sz w:val="24"/>
        </w:rPr>
        <w:t>，费用包括临时占地</w:t>
      </w:r>
      <w:r>
        <w:rPr>
          <w:rFonts w:asciiTheme="minorEastAsia" w:hAnsiTheme="minorEastAsia" w:eastAsiaTheme="minorEastAsia"/>
          <w:sz w:val="24"/>
        </w:rPr>
        <w:t>数量、时间及因此而发生的协调、租用、复耕、地面附着物（电力、电信、房屋、坟墓除外）</w:t>
      </w:r>
      <w:r>
        <w:rPr>
          <w:rFonts w:hint="eastAsia" w:asciiTheme="minorEastAsia" w:hAnsiTheme="minorEastAsia" w:eastAsiaTheme="minorEastAsia"/>
          <w:sz w:val="24"/>
        </w:rPr>
        <w:t>的拆迁</w:t>
      </w:r>
      <w:r>
        <w:rPr>
          <w:rFonts w:asciiTheme="minorEastAsia" w:hAnsiTheme="minorEastAsia" w:eastAsiaTheme="minorEastAsia"/>
          <w:sz w:val="24"/>
        </w:rPr>
        <w:t>补偿等相关费用</w:t>
      </w:r>
      <w:r>
        <w:rPr>
          <w:rFonts w:hint="eastAsia" w:asciiTheme="minorEastAsia" w:hAnsiTheme="minorEastAsia" w:eastAsiaTheme="minorEastAsia"/>
          <w:sz w:val="24"/>
        </w:rPr>
        <w:t>。</w:t>
      </w:r>
      <w:r>
        <w:rPr>
          <w:rFonts w:asciiTheme="minorEastAsia" w:hAnsiTheme="minorEastAsia" w:eastAsiaTheme="minorEastAsia"/>
          <w:sz w:val="24"/>
        </w:rPr>
        <w:t>除项目专用合同条款另有约定外，临时占地的租地费用实行总额包干</w:t>
      </w:r>
      <w:r>
        <w:rPr>
          <w:rFonts w:hint="eastAsia" w:asciiTheme="minorEastAsia" w:hAnsiTheme="minorEastAsia" w:eastAsiaTheme="minorEastAsia"/>
          <w:sz w:val="24"/>
        </w:rPr>
        <w:t>，</w:t>
      </w:r>
      <w:r>
        <w:rPr>
          <w:rFonts w:asciiTheme="minorEastAsia" w:hAnsiTheme="minorEastAsia" w:eastAsiaTheme="minorEastAsia"/>
          <w:sz w:val="24"/>
        </w:rPr>
        <w:t>列入工程量清单第100章中由承包人按总额报价</w:t>
      </w:r>
      <w:r>
        <w:rPr>
          <w:rFonts w:hint="eastAsia" w:asciiTheme="minorEastAsia" w:hAnsiTheme="minorEastAsia" w:eastAsiaTheme="minorEastAsia"/>
          <w:sz w:val="24"/>
        </w:rPr>
        <w:t>。</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临时占地退还前，承包人应自费恢复到临时占地使用前的状况。如因承包人撤离后未按要求对临时占地进行恢复或虽进行了恢复但未达到使用标准的，将由发包人委托第三方对其恢复，所发生的费用将从应付给承包人的任何款项内扣除。</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（2）除项目专用合同条款另有约定外，承包人应承担并支付为获得本合同工程所需的石料、砂、砾石、</w:t>
      </w:r>
      <w:r>
        <w:rPr>
          <w:rFonts w:hint="eastAsia" w:asciiTheme="minorEastAsia" w:hAnsiTheme="minorEastAsia" w:eastAsiaTheme="minorEastAsia"/>
          <w:sz w:val="24"/>
        </w:rPr>
        <w:t>黏</w:t>
      </w:r>
      <w:r>
        <w:rPr>
          <w:rFonts w:asciiTheme="minorEastAsia" w:hAnsiTheme="minorEastAsia" w:eastAsiaTheme="minorEastAsia"/>
          <w:sz w:val="24"/>
        </w:rPr>
        <w:t>土或其他当地材料等所发生的料场使用费及其他开支或补偿费。发包人应尽可能协助承包人办理料场租用手续及解决使用过程中的有关问题。</w:t>
      </w:r>
    </w:p>
    <w:p>
      <w:pPr>
        <w:spacing w:line="400" w:lineRule="atLeast"/>
        <w:ind w:firstLine="390"/>
        <w:rPr>
          <w:rFonts w:asciiTheme="minorEastAsia" w:hAnsiTheme="minorEastAsia" w:eastAsiaTheme="minorEastAsia"/>
          <w:color w:val="FF0000"/>
          <w:sz w:val="24"/>
        </w:rPr>
      </w:pPr>
      <w:r>
        <w:rPr>
          <w:rFonts w:asciiTheme="minorEastAsia" w:hAnsiTheme="minorEastAsia" w:eastAsiaTheme="minorEastAsia"/>
          <w:sz w:val="24"/>
        </w:rPr>
        <w:t>（3）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w:t>
      </w:r>
      <w:r>
        <w:rPr>
          <w:rFonts w:asciiTheme="minorEastAsia" w:hAnsiTheme="minorEastAsia" w:eastAsiaTheme="minorEastAsia"/>
          <w:color w:val="FF0000"/>
          <w:sz w:val="24"/>
        </w:rPr>
        <w:t>作为不良记录纳入公路建设市场信用信息管理系统。</w:t>
      </w:r>
    </w:p>
    <w:p>
      <w:pPr>
        <w:spacing w:line="400" w:lineRule="atLeast"/>
        <w:ind w:firstLine="390"/>
        <w:rPr>
          <w:rFonts w:asciiTheme="minorEastAsia" w:hAnsiTheme="minorEastAsia" w:eastAsiaTheme="minorEastAsia"/>
          <w:color w:val="FF0000"/>
          <w:sz w:val="24"/>
        </w:rPr>
      </w:pPr>
      <w:r>
        <w:rPr>
          <w:rFonts w:asciiTheme="minorEastAsia" w:hAnsiTheme="minorEastAsia" w:eastAsiaTheme="minorEastAsia"/>
          <w:color w:val="FF000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工资支付表应如实记录支付单位、支付时间、支付对象、支付数额、支付对象的身份证号和签字等信息。民工花名册和工资支付表应报监理人备查。</w:t>
      </w:r>
    </w:p>
    <w:p>
      <w:pPr>
        <w:spacing w:line="400" w:lineRule="atLeast"/>
        <w:ind w:firstLine="390"/>
        <w:rPr>
          <w:rFonts w:asciiTheme="minorEastAsia" w:hAnsiTheme="minorEastAsia" w:eastAsiaTheme="minorEastAsia"/>
          <w:sz w:val="24"/>
        </w:rPr>
      </w:pPr>
      <w:r>
        <w:rPr>
          <w:rFonts w:hint="eastAsia" w:asciiTheme="minorEastAsia" w:hAnsiTheme="minorEastAsia" w:eastAsiaTheme="minorEastAsia"/>
          <w:sz w:val="24"/>
        </w:rPr>
        <w:t>（4）</w:t>
      </w:r>
      <w:r>
        <w:rPr>
          <w:rFonts w:hint="eastAsia" w:asciiTheme="minorEastAsia" w:hAnsiTheme="minorEastAsia" w:eastAsiaTheme="minorEastAsia"/>
          <w:color w:val="FF0000"/>
          <w:sz w:val="24"/>
        </w:rPr>
        <w:t>承包人应分解工程价款中的人工费用，在工程项目所在地银行开设民工工资（劳务费）专用账户，专项用于支付民工工资。</w:t>
      </w:r>
      <w:r>
        <w:rPr>
          <w:rFonts w:hint="eastAsia" w:asciiTheme="minorEastAsia" w:hAnsiTheme="minorEastAsia" w:eastAsiaTheme="minorEastAsia"/>
          <w:sz w:val="24"/>
        </w:rPr>
        <w:t>发包人应按照本合同约定的比例或承包人提供的人工费用数额，将应付工程款中的人工费单独拨付到承包人开设的民工工资（劳务费）专用账户。民工工资（劳务费）专用账户应向人力资源社会保障部门和交通运输主管部门备案，并委托开户银行负责日常监管，确保专款专用。开户银行发现账户资金不足、被挪用等情况，应及时向人力资源社会保障部门和交通运输主管部门报告。</w:t>
      </w:r>
    </w:p>
    <w:p>
      <w:pPr>
        <w:spacing w:line="400" w:lineRule="atLeast"/>
        <w:ind w:firstLine="390"/>
        <w:rPr>
          <w:rFonts w:asciiTheme="minorEastAsia" w:hAnsiTheme="minorEastAsia" w:eastAsiaTheme="minorEastAsia"/>
          <w:sz w:val="24"/>
        </w:rPr>
      </w:pPr>
      <w:r>
        <w:rPr>
          <w:rFonts w:hint="eastAsia" w:asciiTheme="minorEastAsia" w:hAnsiTheme="minorEastAsia" w:eastAsiaTheme="minorEastAsia"/>
          <w:sz w:val="24"/>
        </w:rPr>
        <w:t>（5）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与此相关的费用承包人应</w:t>
      </w:r>
      <w:r>
        <w:rPr>
          <w:rFonts w:asciiTheme="minorEastAsia" w:hAnsiTheme="minorEastAsia" w:eastAsiaTheme="minorEastAsia"/>
          <w:sz w:val="24"/>
        </w:rPr>
        <w:t>列入工程量清单第100章中</w:t>
      </w:r>
      <w:r>
        <w:rPr>
          <w:rFonts w:hint="eastAsia" w:asciiTheme="minorEastAsia" w:hAnsiTheme="minorEastAsia" w:eastAsiaTheme="minorEastAsia"/>
          <w:sz w:val="24"/>
        </w:rPr>
        <w:t>。</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w:t>
      </w:r>
      <w:r>
        <w:rPr>
          <w:rFonts w:hint="eastAsia" w:asciiTheme="minorEastAsia" w:hAnsiTheme="minorEastAsia" w:eastAsiaTheme="minorEastAsia"/>
          <w:sz w:val="24"/>
        </w:rPr>
        <w:t>6</w:t>
      </w:r>
      <w:r>
        <w:rPr>
          <w:rFonts w:asciiTheme="minorEastAsia" w:hAnsiTheme="minorEastAsia" w:eastAsiaTheme="minorEastAsia"/>
          <w:sz w:val="24"/>
        </w:rPr>
        <w:t>）承包人应履行项目专用合同条款约定的其他义务。</w:t>
      </w:r>
    </w:p>
    <w:p>
      <w:pPr>
        <w:rPr>
          <w:rFonts w:asciiTheme="minorEastAsia" w:hAnsiTheme="minorEastAsia" w:eastAsiaTheme="minorEastAsia"/>
          <w:b/>
          <w:sz w:val="24"/>
        </w:rPr>
      </w:pPr>
      <w:bookmarkStart w:id="366" w:name="_Toc9352925"/>
      <w:bookmarkStart w:id="367" w:name="_Toc234833137"/>
      <w:r>
        <w:rPr>
          <w:rFonts w:asciiTheme="minorEastAsia" w:hAnsiTheme="minorEastAsia" w:eastAsiaTheme="minorEastAsia"/>
          <w:sz w:val="24"/>
        </w:rPr>
        <w:t>4.2 履约保证金</w:t>
      </w:r>
      <w:bookmarkEnd w:id="366"/>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本款细化为：</w:t>
      </w:r>
    </w:p>
    <w:p>
      <w:pPr>
        <w:spacing w:line="400" w:lineRule="atLeast"/>
        <w:ind w:firstLine="480" w:firstLineChars="200"/>
        <w:rPr>
          <w:rFonts w:asciiTheme="minorEastAsia" w:hAnsiTheme="minorEastAsia" w:eastAsiaTheme="minorEastAsia"/>
          <w:color w:val="FF0000"/>
          <w:sz w:val="24"/>
        </w:rPr>
      </w:pPr>
      <w:r>
        <w:rPr>
          <w:rFonts w:asciiTheme="minorEastAsia" w:hAnsiTheme="minorEastAsia" w:eastAsiaTheme="minorEastAsia"/>
          <w:sz w:val="24"/>
        </w:rPr>
        <w:t>承包人应保证其履约保证金在发包人</w:t>
      </w:r>
      <w:r>
        <w:rPr>
          <w:rFonts w:hint="eastAsia" w:asciiTheme="minorEastAsia" w:hAnsiTheme="minorEastAsia" w:eastAsiaTheme="minorEastAsia"/>
          <w:sz w:val="24"/>
        </w:rPr>
        <w:t>签发交工验收证书且承包人按照合同约定缴纳质量保证金</w:t>
      </w:r>
      <w:r>
        <w:rPr>
          <w:rFonts w:asciiTheme="minorEastAsia" w:hAnsiTheme="minorEastAsia" w:eastAsiaTheme="minorEastAsia"/>
          <w:sz w:val="24"/>
        </w:rPr>
        <w:t>前一直有效。</w:t>
      </w:r>
      <w:r>
        <w:rPr>
          <w:rFonts w:asciiTheme="minorEastAsia" w:hAnsiTheme="minorEastAsia" w:eastAsiaTheme="minorEastAsia"/>
          <w:color w:val="FF0000"/>
          <w:sz w:val="24"/>
        </w:rPr>
        <w:t>发包人应在</w:t>
      </w:r>
      <w:r>
        <w:rPr>
          <w:rFonts w:hint="eastAsia" w:asciiTheme="minorEastAsia" w:hAnsiTheme="minorEastAsia" w:eastAsiaTheme="minorEastAsia"/>
          <w:color w:val="FF0000"/>
          <w:sz w:val="24"/>
        </w:rPr>
        <w:t>收到承包人缴纳的质量保证金</w:t>
      </w:r>
      <w:r>
        <w:rPr>
          <w:rFonts w:asciiTheme="minorEastAsia" w:hAnsiTheme="minorEastAsia" w:eastAsiaTheme="minorEastAsia"/>
          <w:color w:val="FF0000"/>
          <w:sz w:val="24"/>
        </w:rPr>
        <w:t>后28天内</w:t>
      </w:r>
      <w:r>
        <w:rPr>
          <w:rFonts w:hint="eastAsia" w:asciiTheme="minorEastAsia" w:hAnsiTheme="minorEastAsia" w:eastAsiaTheme="minorEastAsia"/>
          <w:color w:val="FF0000"/>
          <w:sz w:val="24"/>
        </w:rPr>
        <w:t>将</w:t>
      </w:r>
      <w:r>
        <w:rPr>
          <w:rFonts w:asciiTheme="minorEastAsia" w:hAnsiTheme="minorEastAsia" w:eastAsiaTheme="minorEastAsia"/>
          <w:color w:val="FF0000"/>
          <w:sz w:val="24"/>
        </w:rPr>
        <w:t>履约保证金退还给承包人。</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承包人拒绝按照本合同约定缴纳质量保证金的，发包人有权从交工付款证书中扣留相应金额作为质量保证金，或者直接将履约保证金金额用于保证承包人在</w:t>
      </w:r>
      <w:r>
        <w:rPr>
          <w:rFonts w:asciiTheme="minorEastAsia" w:hAnsiTheme="minorEastAsia" w:eastAsiaTheme="minorEastAsia"/>
          <w:sz w:val="24"/>
        </w:rPr>
        <w:t>缺陷责任期内履行缺陷修复义务</w:t>
      </w:r>
      <w:r>
        <w:rPr>
          <w:rFonts w:hint="eastAsia" w:asciiTheme="minorEastAsia" w:hAnsiTheme="minorEastAsia" w:eastAsiaTheme="minorEastAsia"/>
          <w:sz w:val="24"/>
        </w:rPr>
        <w:t>。</w:t>
      </w:r>
    </w:p>
    <w:p>
      <w:pPr>
        <w:rPr>
          <w:rFonts w:asciiTheme="minorEastAsia" w:hAnsiTheme="minorEastAsia" w:eastAsiaTheme="minorEastAsia"/>
          <w:b/>
          <w:sz w:val="24"/>
        </w:rPr>
      </w:pPr>
      <w:bookmarkStart w:id="368" w:name="_Toc9352926"/>
      <w:r>
        <w:rPr>
          <w:rFonts w:asciiTheme="minorEastAsia" w:hAnsiTheme="minorEastAsia" w:eastAsiaTheme="minorEastAsia"/>
          <w:sz w:val="24"/>
        </w:rPr>
        <w:t>4.3 分包</w:t>
      </w:r>
      <w:bookmarkEnd w:id="367"/>
      <w:bookmarkEnd w:id="368"/>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第4.3.2项～第4.3.4项细化为：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4.3.2 承包人不得将工程关键性工作分包给第三人。经发包人同意，承包人可将工程的其他部分或工作分包给第三人。分包包括专业分包和劳务分包。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4.3.3 专业分包</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在工程施工过程中，承包人进行专业分包必须遵守以下规定：</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1）允许专业分包的工程范围仅限于非关键性工程或者适合专业化队伍施工的专项工程。未列入投标文件的专项工程，承包人不得分包。但因工程变更增加了有特殊性技术要求、特殊工艺或者涉及专利保护等的专项工程，且按规定无须再进行招标的，由承包人提出书面申请，经发包人书面同意，可以分包。</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（2）专业分包人的资格能力（含安全生产能力）应与其分包工程的标准和规模相适应，且应当具备如下条件：</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a. 具有经工商登记的法人资格；</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b. 具有从事类似工程经验的管理与技术人员； </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c. 具有（自有或租赁）分包工程所需的施工设备。</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承包人应向监理人提交专业分包人的资格能力证明材料，经监理人审查并报发包人批准后，可以将相应专业工程分包给该专业分包人。</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（3）专业分包工程不得再次分包。</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4）承包人和专业分包人应当按照交通运输主管部门制定的统一格式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5）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6）承包人应当建立健全相关分包管理制度和台账，对专业分包工程的质量、安全、进度和专业分包人的行为等实施全过程管理，按照合同约定对专业分包工程的实施向发包人负责，并承担赔偿责任。专业分包合同不免除承包合同中规定的承包人的责任或者义务。</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（7）专业分包人应当依据专业分包合同的约定，组织分包工程的施工，并对分包工程的质量、安全和进度等实施有效控制。专业分包人对其分包的工程向承包人负责，并就所分包的工程向发包人承担连带责任。</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8）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pPr>
        <w:spacing w:line="400" w:lineRule="atLeast"/>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违反上述规定之一者属违规分包。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4.3.4 劳务分包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在工程施工过程中，承包人进行劳务分包必须遵守以下规定：</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（1）劳务分包人应具有</w:t>
      </w:r>
      <w:r>
        <w:rPr>
          <w:rFonts w:hint="eastAsia" w:asciiTheme="minorEastAsia" w:hAnsiTheme="minorEastAsia" w:eastAsiaTheme="minorEastAsia"/>
          <w:sz w:val="24"/>
        </w:rPr>
        <w:t>施工</w:t>
      </w:r>
      <w:r>
        <w:rPr>
          <w:rFonts w:asciiTheme="minorEastAsia" w:hAnsiTheme="minorEastAsia" w:eastAsiaTheme="minorEastAsia"/>
          <w:sz w:val="24"/>
        </w:rPr>
        <w:t>劳务资质。</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劳务分包应当依法签订劳务分包合同，劳务分包合同必须由承包人的法定代表人或其委托代理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r>
        <w:rPr>
          <w:rFonts w:hint="eastAsia" w:asciiTheme="minorEastAsia" w:hAnsiTheme="minorEastAsia" w:eastAsiaTheme="minorEastAsia"/>
          <w:sz w:val="24"/>
        </w:rPr>
        <w:t>。</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承包人雇用的劳务作业应加入到承包人的施工班组统一管理。有关施工质量、施工安全、施工进度、环境保护、技术方案、试验检测、材料保管与供应、机械设备等都必须由承包人管理与调配，不得以包代管</w:t>
      </w:r>
      <w:r>
        <w:rPr>
          <w:rFonts w:hint="eastAsia" w:asciiTheme="minorEastAsia" w:hAnsiTheme="minorEastAsia" w:eastAsiaTheme="minorEastAsia"/>
          <w:sz w:val="24"/>
        </w:rPr>
        <w:t>。</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（4）承包人应当对劳务分包人员进行安全培训和管理，劳务分包人不得将其分包的劳务作业再次分包。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违反上述规定之一者属违规分包。</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本款补充第4.3.6项、第4.3.7项：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4.3.6 发包人对承包人与分包人之间的法律与经济纠纷不承担任何责任和义务。</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4.3.7 本项目的各项分包工作均应遵守《公路工程施工分包管理办法》的有关规定。</w:t>
      </w:r>
    </w:p>
    <w:p>
      <w:pPr>
        <w:rPr>
          <w:rFonts w:asciiTheme="minorEastAsia" w:hAnsiTheme="minorEastAsia" w:eastAsiaTheme="minorEastAsia"/>
          <w:b/>
          <w:sz w:val="24"/>
        </w:rPr>
      </w:pPr>
      <w:bookmarkStart w:id="369" w:name="_Toc9352927"/>
      <w:bookmarkStart w:id="370" w:name="_Toc234833138"/>
      <w:r>
        <w:rPr>
          <w:rFonts w:asciiTheme="minorEastAsia" w:hAnsiTheme="minorEastAsia" w:eastAsiaTheme="minorEastAsia"/>
          <w:sz w:val="24"/>
        </w:rPr>
        <w:t>4.4</w:t>
      </w:r>
      <w:r>
        <w:rPr>
          <w:rFonts w:asciiTheme="minorEastAsia" w:hAnsiTheme="minorEastAsia" w:eastAsiaTheme="minorEastAsia"/>
          <w:sz w:val="24"/>
        </w:rPr>
        <w:tab/>
      </w:r>
      <w:r>
        <w:rPr>
          <w:rFonts w:asciiTheme="minorEastAsia" w:hAnsiTheme="minorEastAsia" w:eastAsiaTheme="minorEastAsia"/>
          <w:sz w:val="24"/>
        </w:rPr>
        <w:t>联合体</w:t>
      </w:r>
      <w:bookmarkEnd w:id="369"/>
      <w:bookmarkEnd w:id="37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本款补充第4.4.4项：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4.4.4未经发包人事先同意，联合体的组成与结构不得变动。</w:t>
      </w:r>
    </w:p>
    <w:p>
      <w:pPr>
        <w:rPr>
          <w:rFonts w:asciiTheme="minorEastAsia" w:hAnsiTheme="minorEastAsia" w:eastAsiaTheme="minorEastAsia"/>
          <w:b/>
          <w:sz w:val="24"/>
        </w:rPr>
      </w:pPr>
      <w:bookmarkStart w:id="371" w:name="_Toc234833139"/>
      <w:bookmarkStart w:id="372" w:name="_Toc9352928"/>
      <w:r>
        <w:rPr>
          <w:rFonts w:asciiTheme="minorEastAsia" w:hAnsiTheme="minorEastAsia" w:eastAsiaTheme="minorEastAsia"/>
          <w:sz w:val="24"/>
        </w:rPr>
        <w:t>4.6 承包人人员的管理</w:t>
      </w:r>
      <w:bookmarkEnd w:id="371"/>
      <w:bookmarkEnd w:id="372"/>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第4.6.3项细化为：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本款补充第4.6.5项：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4.6.5 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pPr>
        <w:rPr>
          <w:rFonts w:asciiTheme="minorEastAsia" w:hAnsiTheme="minorEastAsia" w:eastAsiaTheme="minorEastAsia"/>
          <w:b/>
          <w:sz w:val="24"/>
        </w:rPr>
      </w:pPr>
      <w:bookmarkStart w:id="373" w:name="_Toc234833140"/>
      <w:bookmarkStart w:id="374" w:name="_Toc9352929"/>
      <w:r>
        <w:rPr>
          <w:rFonts w:asciiTheme="minorEastAsia" w:hAnsiTheme="minorEastAsia" w:eastAsiaTheme="minorEastAsia"/>
          <w:sz w:val="24"/>
        </w:rPr>
        <w:t>4.7 撤换承包人项目经理和其他人员</w:t>
      </w:r>
      <w:bookmarkEnd w:id="373"/>
      <w:bookmarkEnd w:id="374"/>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pPr>
        <w:rPr>
          <w:rFonts w:asciiTheme="minorEastAsia" w:hAnsiTheme="minorEastAsia" w:eastAsiaTheme="minorEastAsia"/>
          <w:b/>
          <w:sz w:val="24"/>
        </w:rPr>
      </w:pPr>
      <w:bookmarkStart w:id="375" w:name="_Toc234833141"/>
      <w:bookmarkStart w:id="376" w:name="_Toc9352930"/>
      <w:r>
        <w:rPr>
          <w:rFonts w:asciiTheme="minorEastAsia" w:hAnsiTheme="minorEastAsia" w:eastAsiaTheme="minorEastAsia"/>
          <w:sz w:val="24"/>
        </w:rPr>
        <w:t>4.9 工程价款应专款专用</w:t>
      </w:r>
      <w:bookmarkEnd w:id="375"/>
      <w:bookmarkEnd w:id="376"/>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pPr>
        <w:rPr>
          <w:rFonts w:asciiTheme="minorEastAsia" w:hAnsiTheme="minorEastAsia" w:eastAsiaTheme="minorEastAsia"/>
          <w:b/>
          <w:sz w:val="24"/>
        </w:rPr>
      </w:pPr>
      <w:bookmarkStart w:id="377" w:name="_Toc234833142"/>
      <w:bookmarkStart w:id="378" w:name="_Toc9352931"/>
      <w:r>
        <w:rPr>
          <w:rFonts w:asciiTheme="minorEastAsia" w:hAnsiTheme="minorEastAsia" w:eastAsiaTheme="minorEastAsia"/>
          <w:sz w:val="24"/>
        </w:rPr>
        <w:t>4.10 承包人现场查勘</w:t>
      </w:r>
      <w:bookmarkEnd w:id="377"/>
      <w:bookmarkEnd w:id="378"/>
      <w:r>
        <w:rPr>
          <w:rFonts w:asciiTheme="minorEastAsia" w:hAnsiTheme="minorEastAsia" w:eastAsiaTheme="minorEastAsia"/>
          <w:sz w:val="24"/>
        </w:rPr>
        <w:t xml:space="preserve">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第4.10.1项细化为：</w:t>
      </w:r>
      <w:r>
        <w:rPr>
          <w:rStyle w:val="59"/>
          <w:rFonts w:asciiTheme="minorEastAsia" w:hAnsiTheme="minorEastAsia" w:eastAsiaTheme="minorEastAsia"/>
          <w:sz w:val="24"/>
        </w:rPr>
        <w:footnoteReference w:id="1"/>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发包人提供的本合同工程的水文、地质、气象和料场分布、取土场、弃土场位置等资料均属于参考资料，并不构成合同文件的组成部分，承包人应对自己就上述资料的解释、推论和应用负责，发包人不对承包人据此</w:t>
      </w:r>
      <w:r>
        <w:rPr>
          <w:rFonts w:hint="eastAsia" w:asciiTheme="minorEastAsia" w:hAnsiTheme="minorEastAsia" w:eastAsiaTheme="minorEastAsia"/>
          <w:sz w:val="24"/>
        </w:rPr>
        <w:t>作</w:t>
      </w:r>
      <w:r>
        <w:rPr>
          <w:rFonts w:asciiTheme="minorEastAsia" w:hAnsiTheme="minorEastAsia" w:eastAsiaTheme="minorEastAsia"/>
          <w:sz w:val="24"/>
        </w:rPr>
        <w:t>出的判断和决策承担任何责任。</w:t>
      </w:r>
    </w:p>
    <w:p>
      <w:pPr>
        <w:rPr>
          <w:rFonts w:asciiTheme="minorEastAsia" w:hAnsiTheme="minorEastAsia" w:eastAsiaTheme="minorEastAsia"/>
          <w:b/>
          <w:sz w:val="24"/>
        </w:rPr>
      </w:pPr>
      <w:bookmarkStart w:id="379" w:name="_Toc234833143"/>
      <w:bookmarkStart w:id="380" w:name="_Toc9352932"/>
      <w:r>
        <w:rPr>
          <w:rFonts w:asciiTheme="minorEastAsia" w:hAnsiTheme="minorEastAsia" w:eastAsiaTheme="minorEastAsia"/>
          <w:sz w:val="24"/>
        </w:rPr>
        <w:t>4.11 不利物质条件</w:t>
      </w:r>
      <w:bookmarkEnd w:id="379"/>
      <w:bookmarkEnd w:id="380"/>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第4.11.2项细化为：</w:t>
      </w:r>
    </w:p>
    <w:p>
      <w:pPr>
        <w:spacing w:line="400" w:lineRule="atLeast"/>
        <w:ind w:firstLine="420"/>
        <w:rPr>
          <w:rFonts w:asciiTheme="minorEastAsia" w:hAnsiTheme="minorEastAsia" w:eastAsiaTheme="minorEastAsia"/>
          <w:iCs/>
          <w:sz w:val="24"/>
        </w:rPr>
      </w:pPr>
      <w:r>
        <w:rPr>
          <w:rFonts w:asciiTheme="minorEastAsia" w:hAnsiTheme="minorEastAsia" w:eastAsiaTheme="minorEastAsia"/>
          <w:iCs/>
          <w:sz w:val="24"/>
        </w:rPr>
        <w:t>4.11.2</w:t>
      </w:r>
      <w:r>
        <w:rPr>
          <w:rFonts w:hint="eastAsia" w:asciiTheme="minorEastAsia" w:hAnsiTheme="minorEastAsia" w:eastAsiaTheme="minorEastAsia"/>
          <w:iCs/>
          <w:sz w:val="24"/>
        </w:rPr>
        <w:t xml:space="preserve"> </w:t>
      </w:r>
      <w:r>
        <w:rPr>
          <w:rFonts w:asciiTheme="minorEastAsia" w:hAnsiTheme="minorEastAsia" w:eastAsiaTheme="minorEastAsia"/>
          <w:iCs/>
          <w:sz w:val="24"/>
        </w:rPr>
        <w:t>承包人遇到不可预见的不利物质条件时，应采取适应不利物质条件的合理措施继续施工，并及时通知监理人。监理人应当及时发出指示，指示构成变更的，按第15条约定办理。监理人没有发出指示的，承包人因采取合理措施而增加的费用和（或）工期延误，由发包人承担。</w:t>
      </w:r>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本款补充第4.11.3项：</w:t>
      </w:r>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4.11.3</w:t>
      </w:r>
      <w:r>
        <w:rPr>
          <w:rFonts w:hint="eastAsia" w:asciiTheme="minorEastAsia" w:hAnsiTheme="minorEastAsia" w:eastAsiaTheme="minorEastAsia"/>
          <w:sz w:val="24"/>
        </w:rPr>
        <w:t xml:space="preserve"> </w:t>
      </w:r>
      <w:r>
        <w:rPr>
          <w:rFonts w:asciiTheme="minorEastAsia" w:hAnsiTheme="minorEastAsia" w:eastAsiaTheme="minorEastAsia"/>
          <w:sz w:val="24"/>
        </w:rPr>
        <w:t>可预见的不利物质条件</w:t>
      </w:r>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（1）对于项目专用合同条款中已经明确指出的不利物质条件无论承包人是否有其经历和经验均视为承包人在接受合同时已预见其影响，并已在签约合同价中计入</w:t>
      </w:r>
      <w:r>
        <w:rPr>
          <w:rFonts w:hint="eastAsia" w:asciiTheme="minorEastAsia" w:hAnsiTheme="minorEastAsia" w:eastAsiaTheme="minorEastAsia"/>
          <w:sz w:val="24"/>
        </w:rPr>
        <w:t>因</w:t>
      </w:r>
      <w:r>
        <w:rPr>
          <w:rFonts w:asciiTheme="minorEastAsia" w:hAnsiTheme="minorEastAsia" w:eastAsiaTheme="minorEastAsia"/>
          <w:sz w:val="24"/>
        </w:rPr>
        <w:t>其影响而可能发生的一切费用。</w:t>
      </w:r>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（2）对于项目专用合同条款未明确指出，但是在不利物质条件发生之前，监理人已经指示承包人有可能发生，但承包人未能及时采取有效措施，而导致的损失和后果均由承包人承担。</w:t>
      </w:r>
    </w:p>
    <w:p>
      <w:pPr>
        <w:spacing w:line="400" w:lineRule="atLeast"/>
        <w:rPr>
          <w:rFonts w:asciiTheme="minorEastAsia" w:hAnsiTheme="minorEastAsia" w:eastAsiaTheme="minorEastAsia"/>
          <w:sz w:val="24"/>
        </w:rPr>
      </w:pPr>
    </w:p>
    <w:p>
      <w:pPr>
        <w:spacing w:line="400" w:lineRule="atLeast"/>
        <w:rPr>
          <w:rFonts w:asciiTheme="minorEastAsia" w:hAnsiTheme="minorEastAsia" w:eastAsiaTheme="minorEastAsia"/>
          <w:sz w:val="24"/>
        </w:rPr>
      </w:pPr>
      <w:r>
        <w:rPr>
          <w:rFonts w:asciiTheme="minorEastAsia" w:hAnsiTheme="minorEastAsia" w:eastAsiaTheme="minorEastAsia"/>
          <w:sz w:val="24"/>
        </w:rPr>
        <w:t>补充第4.12款</w:t>
      </w:r>
      <w:r>
        <w:rPr>
          <w:rFonts w:hint="eastAsia" w:asciiTheme="minorEastAsia" w:hAnsiTheme="minorEastAsia" w:eastAsiaTheme="minorEastAsia"/>
          <w:sz w:val="24"/>
        </w:rPr>
        <w:t>、第</w:t>
      </w:r>
      <w:r>
        <w:rPr>
          <w:rFonts w:asciiTheme="minorEastAsia" w:hAnsiTheme="minorEastAsia" w:eastAsiaTheme="minorEastAsia"/>
          <w:sz w:val="24"/>
        </w:rPr>
        <w:t>4.13款：</w:t>
      </w:r>
    </w:p>
    <w:p>
      <w:pPr>
        <w:rPr>
          <w:b/>
        </w:rPr>
      </w:pPr>
      <w:bookmarkStart w:id="381" w:name="_Toc234833144"/>
      <w:bookmarkStart w:id="382" w:name="_Toc9352933"/>
      <w:r>
        <w:t>4.12 投标文件的完备性</w:t>
      </w:r>
      <w:bookmarkEnd w:id="381"/>
      <w:bookmarkEnd w:id="382"/>
    </w:p>
    <w:p>
      <w:pPr>
        <w:spacing w:line="400" w:lineRule="atLeast"/>
        <w:ind w:firstLine="480" w:firstLineChars="200"/>
        <w:rPr>
          <w:sz w:val="24"/>
        </w:rPr>
      </w:pPr>
      <w:r>
        <w:rPr>
          <w:sz w:val="24"/>
        </w:rPr>
        <w:t>合同双方一致认为，承包人在递交投标文件前，对本合同工程的投标文件和已标价工程量清单中开列的单价和总额价已查明是正确的和完备的。投标的单价和总额价应已包括了合同中规定的承包人的全部义务（包括提供货物、材料、设备、服务的义务，并包括了暂列金额和暂估价范围内的额外工作的义务）以及为实施和完成本合同工程及其缺陷修复所必需的一切工作和条件。</w:t>
      </w:r>
    </w:p>
    <w:p>
      <w:pPr>
        <w:rPr>
          <w:b/>
        </w:rPr>
      </w:pPr>
      <w:bookmarkStart w:id="383" w:name="_Toc9352934"/>
      <w:r>
        <w:rPr>
          <w:rFonts w:hint="eastAsia"/>
        </w:rPr>
        <w:t>4.13 开展</w:t>
      </w:r>
      <w:r>
        <w:t>党建工作要求</w:t>
      </w:r>
      <w:bookmarkEnd w:id="383"/>
    </w:p>
    <w:p>
      <w:pPr>
        <w:spacing w:line="400" w:lineRule="atLeast"/>
        <w:ind w:firstLine="480" w:firstLineChars="200"/>
        <w:rPr>
          <w:sz w:val="24"/>
        </w:rPr>
      </w:pPr>
      <w:r>
        <w:rPr>
          <w:rFonts w:hint="eastAsia"/>
          <w:sz w:val="24"/>
        </w:rPr>
        <w:t>对于政府投资的国家高速公路项目，或承包人</w:t>
      </w:r>
      <w:r>
        <w:rPr>
          <w:sz w:val="24"/>
        </w:rPr>
        <w:t>为</w:t>
      </w:r>
      <w:r>
        <w:rPr>
          <w:rFonts w:hint="eastAsia"/>
          <w:sz w:val="24"/>
        </w:rPr>
        <w:t>国有控股</w:t>
      </w:r>
      <w:r>
        <w:rPr>
          <w:sz w:val="24"/>
        </w:rPr>
        <w:t>或</w:t>
      </w:r>
      <w:r>
        <w:rPr>
          <w:rFonts w:hint="eastAsia"/>
          <w:sz w:val="24"/>
        </w:rPr>
        <w:t>参股企业的，承包人</w:t>
      </w:r>
      <w:r>
        <w:rPr>
          <w:sz w:val="24"/>
        </w:rPr>
        <w:t>应</w:t>
      </w:r>
      <w:r>
        <w:rPr>
          <w:rFonts w:hint="eastAsia"/>
          <w:sz w:val="24"/>
        </w:rPr>
        <w:t>按</w:t>
      </w:r>
      <w:r>
        <w:rPr>
          <w:sz w:val="24"/>
        </w:rPr>
        <w:t>规定在项目现场设立基层</w:t>
      </w:r>
      <w:r>
        <w:rPr>
          <w:rFonts w:hint="eastAsia"/>
          <w:sz w:val="24"/>
        </w:rPr>
        <w:t>党组织。不满足上述情形的，承包人应</w:t>
      </w:r>
      <w:r>
        <w:rPr>
          <w:sz w:val="24"/>
        </w:rPr>
        <w:t>创造</w:t>
      </w:r>
      <w:r>
        <w:rPr>
          <w:rFonts w:hint="eastAsia"/>
          <w:sz w:val="24"/>
        </w:rPr>
        <w:t>条件使党员能够参加党组织生活并接受相应管理。</w:t>
      </w:r>
    </w:p>
    <w:p>
      <w:pPr>
        <w:spacing w:line="400" w:lineRule="atLeast"/>
        <w:ind w:firstLine="480" w:firstLineChars="200"/>
        <w:rPr>
          <w:sz w:val="24"/>
        </w:rPr>
      </w:pPr>
      <w:r>
        <w:rPr>
          <w:rFonts w:hint="eastAsia"/>
          <w:sz w:val="24"/>
        </w:rPr>
        <w:t>承包人在项目</w:t>
      </w:r>
      <w:r>
        <w:rPr>
          <w:sz w:val="24"/>
        </w:rPr>
        <w:t>现场</w:t>
      </w:r>
      <w:r>
        <w:rPr>
          <w:rFonts w:hint="eastAsia"/>
          <w:sz w:val="24"/>
        </w:rPr>
        <w:t>设立基层</w:t>
      </w:r>
      <w:r>
        <w:rPr>
          <w:sz w:val="24"/>
        </w:rPr>
        <w:t>党组织</w:t>
      </w:r>
      <w:r>
        <w:rPr>
          <w:rFonts w:hint="eastAsia"/>
          <w:sz w:val="24"/>
        </w:rPr>
        <w:t>的</w:t>
      </w:r>
      <w:r>
        <w:rPr>
          <w:sz w:val="24"/>
        </w:rPr>
        <w:t>，</w:t>
      </w:r>
      <w:r>
        <w:rPr>
          <w:rFonts w:hint="eastAsia"/>
          <w:sz w:val="24"/>
        </w:rPr>
        <w:t>应</w:t>
      </w:r>
      <w:r>
        <w:rPr>
          <w:sz w:val="24"/>
        </w:rPr>
        <w:t>明确党组织机构设置、党组织负责人及党务工作人员配备情况</w:t>
      </w:r>
      <w:r>
        <w:rPr>
          <w:rFonts w:hint="eastAsia"/>
          <w:sz w:val="24"/>
        </w:rPr>
        <w:t>，编制党务</w:t>
      </w:r>
      <w:r>
        <w:rPr>
          <w:sz w:val="24"/>
        </w:rPr>
        <w:t>工作开展预案</w:t>
      </w:r>
      <w:r>
        <w:rPr>
          <w:rFonts w:hint="eastAsia"/>
          <w:sz w:val="24"/>
        </w:rPr>
        <w:t>，并</w:t>
      </w:r>
      <w:r>
        <w:rPr>
          <w:sz w:val="24"/>
        </w:rPr>
        <w:t>按照预案要求在</w:t>
      </w:r>
      <w:r>
        <w:rPr>
          <w:rFonts w:hint="eastAsia"/>
          <w:sz w:val="24"/>
        </w:rPr>
        <w:t>项目</w:t>
      </w:r>
      <w:r>
        <w:rPr>
          <w:sz w:val="24"/>
        </w:rPr>
        <w:t>实施过程中同步开展党务工作，充分发挥基层</w:t>
      </w:r>
      <w:r>
        <w:rPr>
          <w:rFonts w:hint="eastAsia"/>
          <w:sz w:val="24"/>
        </w:rPr>
        <w:t>党</w:t>
      </w:r>
      <w:r>
        <w:rPr>
          <w:sz w:val="24"/>
        </w:rPr>
        <w:t>组织</w:t>
      </w:r>
      <w:r>
        <w:rPr>
          <w:rFonts w:hint="eastAsia"/>
          <w:sz w:val="24"/>
        </w:rPr>
        <w:t>在项目实施中</w:t>
      </w:r>
      <w:r>
        <w:rPr>
          <w:sz w:val="24"/>
        </w:rPr>
        <w:t>的作用。</w:t>
      </w:r>
    </w:p>
    <w:p>
      <w:pPr>
        <w:rPr>
          <w:rFonts w:asciiTheme="minorEastAsia" w:hAnsiTheme="minorEastAsia" w:eastAsiaTheme="minorEastAsia"/>
          <w:b/>
          <w:sz w:val="24"/>
        </w:rPr>
      </w:pPr>
      <w:bookmarkStart w:id="384" w:name="_Toc9352935"/>
      <w:bookmarkStart w:id="385" w:name="_Toc234833145"/>
      <w:r>
        <w:rPr>
          <w:rFonts w:asciiTheme="minorEastAsia" w:hAnsiTheme="minorEastAsia" w:eastAsiaTheme="minorEastAsia"/>
          <w:b/>
          <w:sz w:val="24"/>
        </w:rPr>
        <w:t>5. 材料和工程设备</w:t>
      </w:r>
      <w:bookmarkEnd w:id="384"/>
      <w:bookmarkEnd w:id="385"/>
    </w:p>
    <w:p>
      <w:pPr>
        <w:rPr>
          <w:rFonts w:asciiTheme="minorEastAsia" w:hAnsiTheme="minorEastAsia" w:eastAsiaTheme="minorEastAsia"/>
          <w:sz w:val="24"/>
        </w:rPr>
      </w:pPr>
      <w:bookmarkStart w:id="386" w:name="_Toc234833146"/>
      <w:bookmarkStart w:id="387" w:name="_Toc9352936"/>
      <w:r>
        <w:rPr>
          <w:rFonts w:asciiTheme="minorEastAsia" w:hAnsiTheme="minorEastAsia" w:eastAsiaTheme="minorEastAsia"/>
          <w:sz w:val="24"/>
        </w:rPr>
        <w:t>5.2 发包人提供的材料和工程设备</w:t>
      </w:r>
      <w:bookmarkEnd w:id="386"/>
      <w:bookmarkEnd w:id="387"/>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第5.2.3项补充：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w:t>
      </w:r>
      <w:r>
        <w:rPr>
          <w:rFonts w:hint="eastAsia" w:asciiTheme="minorEastAsia" w:hAnsiTheme="minorEastAsia" w:eastAsiaTheme="minorEastAsia"/>
          <w:sz w:val="24"/>
        </w:rPr>
        <w:t>的原因</w:t>
      </w:r>
      <w:r>
        <w:rPr>
          <w:rFonts w:asciiTheme="minorEastAsia" w:hAnsiTheme="minorEastAsia" w:eastAsiaTheme="minorEastAsia"/>
          <w:sz w:val="24"/>
        </w:rPr>
        <w:t>发生丢失、损坏或进度拖延，由承包人承担相应责任。</w:t>
      </w:r>
    </w:p>
    <w:p>
      <w:pPr>
        <w:rPr>
          <w:rFonts w:asciiTheme="minorEastAsia" w:hAnsiTheme="minorEastAsia" w:eastAsiaTheme="minorEastAsia"/>
          <w:b/>
          <w:sz w:val="24"/>
        </w:rPr>
      </w:pPr>
      <w:bookmarkStart w:id="388" w:name="_Toc234833147"/>
      <w:bookmarkStart w:id="389" w:name="_Toc9352937"/>
      <w:r>
        <w:rPr>
          <w:rFonts w:asciiTheme="minorEastAsia" w:hAnsiTheme="minorEastAsia" w:eastAsiaTheme="minorEastAsia"/>
          <w:b/>
          <w:sz w:val="24"/>
        </w:rPr>
        <w:t>6. 施工设备和临时设施</w:t>
      </w:r>
      <w:bookmarkEnd w:id="388"/>
      <w:bookmarkEnd w:id="389"/>
      <w:r>
        <w:rPr>
          <w:rFonts w:asciiTheme="minorEastAsia" w:hAnsiTheme="minorEastAsia" w:eastAsiaTheme="minorEastAsia"/>
          <w:b/>
          <w:sz w:val="24"/>
        </w:rPr>
        <w:t xml:space="preserve"> </w:t>
      </w:r>
    </w:p>
    <w:p>
      <w:pPr>
        <w:rPr>
          <w:rFonts w:asciiTheme="minorEastAsia" w:hAnsiTheme="minorEastAsia" w:eastAsiaTheme="minorEastAsia"/>
          <w:b/>
          <w:sz w:val="24"/>
        </w:rPr>
      </w:pPr>
      <w:bookmarkStart w:id="390" w:name="_Toc234833148"/>
      <w:bookmarkStart w:id="391" w:name="_Toc9352938"/>
      <w:r>
        <w:rPr>
          <w:rFonts w:asciiTheme="minorEastAsia" w:hAnsiTheme="minorEastAsia" w:eastAsiaTheme="minorEastAsia"/>
          <w:sz w:val="24"/>
        </w:rPr>
        <w:t>6.1 承包人提供的施工设备和临时设施</w:t>
      </w:r>
      <w:bookmarkEnd w:id="390"/>
      <w:bookmarkEnd w:id="391"/>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第6.1.2项约定为：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承包人应自行承担修建临时设施的费用，需要临时占地的，应由承包人按第4.1.10项（1）目的规定办理。</w:t>
      </w:r>
    </w:p>
    <w:p>
      <w:pPr>
        <w:rPr>
          <w:rFonts w:asciiTheme="minorEastAsia" w:hAnsiTheme="minorEastAsia" w:eastAsiaTheme="minorEastAsia"/>
          <w:b/>
          <w:sz w:val="24"/>
        </w:rPr>
      </w:pPr>
      <w:bookmarkStart w:id="392" w:name="_Toc234833149"/>
      <w:bookmarkStart w:id="393" w:name="_Toc9352939"/>
      <w:r>
        <w:rPr>
          <w:rFonts w:asciiTheme="minorEastAsia" w:hAnsiTheme="minorEastAsia" w:eastAsiaTheme="minorEastAsia"/>
          <w:sz w:val="24"/>
        </w:rPr>
        <w:t>6.3 要求承包人增加或更换施工设备</w:t>
      </w:r>
      <w:bookmarkEnd w:id="392"/>
      <w:bookmarkEnd w:id="393"/>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承诺的施工设备必须按时到达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pPr>
        <w:rPr>
          <w:rFonts w:asciiTheme="minorEastAsia" w:hAnsiTheme="minorEastAsia" w:eastAsiaTheme="minorEastAsia"/>
          <w:b/>
          <w:sz w:val="24"/>
        </w:rPr>
      </w:pPr>
      <w:bookmarkStart w:id="394" w:name="_Toc234833150"/>
      <w:bookmarkStart w:id="395" w:name="_Toc9352940"/>
      <w:r>
        <w:rPr>
          <w:rFonts w:asciiTheme="minorEastAsia" w:hAnsiTheme="minorEastAsia" w:eastAsiaTheme="minorEastAsia"/>
          <w:b/>
          <w:sz w:val="24"/>
        </w:rPr>
        <w:t>7. 交通运输</w:t>
      </w:r>
      <w:bookmarkEnd w:id="394"/>
      <w:bookmarkEnd w:id="395"/>
      <w:r>
        <w:rPr>
          <w:rFonts w:asciiTheme="minorEastAsia" w:hAnsiTheme="minorEastAsia" w:eastAsiaTheme="minorEastAsia"/>
          <w:b/>
          <w:sz w:val="24"/>
        </w:rPr>
        <w:t xml:space="preserve"> </w:t>
      </w:r>
    </w:p>
    <w:p>
      <w:pPr>
        <w:rPr>
          <w:rFonts w:asciiTheme="minorEastAsia" w:hAnsiTheme="minorEastAsia" w:eastAsiaTheme="minorEastAsia"/>
          <w:b/>
          <w:sz w:val="24"/>
        </w:rPr>
      </w:pPr>
      <w:bookmarkStart w:id="396" w:name="_Toc234833151"/>
      <w:bookmarkStart w:id="397" w:name="_Toc9352941"/>
      <w:r>
        <w:rPr>
          <w:rFonts w:asciiTheme="minorEastAsia" w:hAnsiTheme="minorEastAsia" w:eastAsiaTheme="minorEastAsia"/>
          <w:sz w:val="24"/>
        </w:rPr>
        <w:t>7.1 道路通行权和场外设施</w:t>
      </w:r>
      <w:bookmarkEnd w:id="396"/>
      <w:bookmarkEnd w:id="397"/>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本款约定为：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根据合同工程的施工需要，负责办理取得出入施工场地的专用和临时道路的通行权，以及取得为工程建设所需修建场外设施的权利，并承担有关费用。需要发包人协调时，发包人应协助承包人办理相关手续。</w:t>
      </w:r>
    </w:p>
    <w:p>
      <w:pPr>
        <w:rPr>
          <w:rFonts w:asciiTheme="minorEastAsia" w:hAnsiTheme="minorEastAsia" w:eastAsiaTheme="minorEastAsia"/>
          <w:b/>
          <w:sz w:val="24"/>
        </w:rPr>
      </w:pPr>
      <w:bookmarkStart w:id="398" w:name="_Toc234833152"/>
      <w:bookmarkStart w:id="399" w:name="_Toc9352942"/>
      <w:r>
        <w:rPr>
          <w:rFonts w:asciiTheme="minorEastAsia" w:hAnsiTheme="minorEastAsia" w:eastAsiaTheme="minorEastAsia"/>
          <w:b/>
          <w:sz w:val="24"/>
        </w:rPr>
        <w:t>8. 测量放线</w:t>
      </w:r>
      <w:bookmarkEnd w:id="398"/>
      <w:bookmarkEnd w:id="399"/>
    </w:p>
    <w:p>
      <w:pPr>
        <w:rPr>
          <w:rFonts w:asciiTheme="minorEastAsia" w:hAnsiTheme="minorEastAsia" w:eastAsiaTheme="minorEastAsia"/>
          <w:b/>
          <w:sz w:val="24"/>
        </w:rPr>
      </w:pPr>
      <w:bookmarkStart w:id="400" w:name="_Toc9352943"/>
      <w:bookmarkStart w:id="401" w:name="_Toc234833153"/>
      <w:r>
        <w:rPr>
          <w:rFonts w:asciiTheme="minorEastAsia" w:hAnsiTheme="minorEastAsia" w:eastAsiaTheme="minorEastAsia"/>
          <w:sz w:val="24"/>
        </w:rPr>
        <w:t>8.4 监理人使用施工控制网</w:t>
      </w:r>
      <w:bookmarkEnd w:id="400"/>
      <w:bookmarkEnd w:id="401"/>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本款补充：</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经监理人批准，其他相关承包人也可免费使用施工控制网。</w:t>
      </w:r>
    </w:p>
    <w:p>
      <w:pPr>
        <w:rPr>
          <w:rFonts w:asciiTheme="minorEastAsia" w:hAnsiTheme="minorEastAsia" w:eastAsiaTheme="minorEastAsia"/>
          <w:b/>
          <w:sz w:val="24"/>
        </w:rPr>
      </w:pPr>
      <w:bookmarkStart w:id="402" w:name="_Toc9352944"/>
      <w:bookmarkStart w:id="403" w:name="_Toc234833154"/>
      <w:r>
        <w:rPr>
          <w:rFonts w:asciiTheme="minorEastAsia" w:hAnsiTheme="minorEastAsia" w:eastAsiaTheme="minorEastAsia"/>
          <w:b/>
          <w:sz w:val="24"/>
        </w:rPr>
        <w:t>9. 施工安全、治安保卫和环境保护</w:t>
      </w:r>
      <w:bookmarkEnd w:id="402"/>
      <w:bookmarkEnd w:id="403"/>
    </w:p>
    <w:p>
      <w:pPr>
        <w:rPr>
          <w:rFonts w:asciiTheme="minorEastAsia" w:hAnsiTheme="minorEastAsia" w:eastAsiaTheme="minorEastAsia"/>
          <w:b/>
          <w:sz w:val="24"/>
        </w:rPr>
      </w:pPr>
      <w:bookmarkStart w:id="404" w:name="_Toc234833155"/>
      <w:bookmarkStart w:id="405" w:name="_Toc9352945"/>
      <w:r>
        <w:rPr>
          <w:rFonts w:asciiTheme="minorEastAsia" w:hAnsiTheme="minorEastAsia" w:eastAsiaTheme="minorEastAsia"/>
          <w:sz w:val="24"/>
        </w:rPr>
        <w:t>9.2 承包人的施工安全责任</w:t>
      </w:r>
      <w:bookmarkEnd w:id="404"/>
      <w:bookmarkEnd w:id="405"/>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第9.2.1项细化为：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根据本工程的实际安全施工要求，编制施工安全技术措施，并在签订合同协议书后28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pPr>
        <w:spacing w:line="400" w:lineRule="atLeast"/>
        <w:ind w:firstLine="480" w:firstLineChars="200"/>
        <w:rPr>
          <w:rFonts w:asciiTheme="minorEastAsia" w:hAnsiTheme="minorEastAsia" w:eastAsiaTheme="minorEastAsia"/>
          <w:color w:val="FF0000"/>
          <w:sz w:val="24"/>
        </w:rPr>
      </w:pPr>
      <w:r>
        <w:rPr>
          <w:rFonts w:asciiTheme="minorEastAsia" w:hAnsiTheme="minorEastAsia" w:eastAsiaTheme="minorEastAsia"/>
          <w:color w:val="FF0000"/>
          <w:sz w:val="24"/>
        </w:rPr>
        <w:t>本项目需要编制专项施工方案的工程包括但不限于以下内容：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（1）不良地质条件下有潜在危险性的土方、石方开挖；</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（2）滑坡和高边坡处理；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（3）桩基础、挡墙基础、深水基础及围堰工程；</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（4）桥梁工程中的梁、拱、柱等构件施工等；</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（5）隧道工程中的不良地质隧道、高瓦斯隧道等；</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（6）水上工程中的打桩船作业、施工船作业、外海孤岛作业、边通航边施工作业等；</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（7）水下工程中的水下焊接、混凝土</w:t>
      </w:r>
      <w:r>
        <w:rPr>
          <w:rFonts w:hint="eastAsia" w:asciiTheme="minorEastAsia" w:hAnsiTheme="minorEastAsia" w:eastAsiaTheme="minorEastAsia"/>
          <w:sz w:val="24"/>
        </w:rPr>
        <w:t>浇筑</w:t>
      </w:r>
      <w:r>
        <w:rPr>
          <w:rFonts w:asciiTheme="minorEastAsia" w:hAnsiTheme="minorEastAsia" w:eastAsiaTheme="minorEastAsia"/>
          <w:sz w:val="24"/>
        </w:rPr>
        <w:t>、爆破工程等；</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（8）爆破工程；</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（9）大型临时工程中的大型支架、模板、便桥的架设与拆除；桥梁、码头的加固与拆除；</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（10）其他危险性较大的工程。</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监理人和发包人在检查中发现有安全问题或有违反安全管理规章制度的情况时，可视为承包人违约，应按第22.1款的规定办理。</w:t>
      </w:r>
    </w:p>
    <w:p>
      <w:pPr>
        <w:spacing w:line="440" w:lineRule="exact"/>
        <w:ind w:firstLine="480" w:firstLineChars="200"/>
        <w:rPr>
          <w:rFonts w:asciiTheme="minorEastAsia" w:hAnsiTheme="minorEastAsia" w:eastAsiaTheme="minorEastAsia"/>
          <w:sz w:val="24"/>
        </w:rPr>
      </w:pPr>
      <w:r>
        <w:rPr>
          <w:rFonts w:asciiTheme="minorEastAsia" w:hAnsiTheme="minorEastAsia" w:eastAsiaTheme="minorEastAsia"/>
          <w:sz w:val="24"/>
        </w:rPr>
        <w:t>第9.2.5项细化为：</w:t>
      </w:r>
    </w:p>
    <w:p>
      <w:pPr>
        <w:spacing w:line="440" w:lineRule="exact"/>
        <w:ind w:firstLine="480" w:firstLineChars="200"/>
        <w:rPr>
          <w:rFonts w:asciiTheme="minorEastAsia" w:hAnsiTheme="minorEastAsia" w:eastAsiaTheme="minorEastAsia"/>
          <w:sz w:val="24"/>
        </w:rPr>
      </w:pPr>
      <w:r>
        <w:rPr>
          <w:rFonts w:asciiTheme="minorEastAsia" w:hAnsiTheme="minorEastAsia" w:eastAsiaTheme="minorEastAsia"/>
          <w:sz w:val="24"/>
        </w:rPr>
        <w:t>除项目专用合同条款另有约定外，安全生产费用应为投标价（不含安全生产费及建筑工程一切险及第三者责任险的保险费）的1</w:t>
      </w:r>
      <w:r>
        <w:rPr>
          <w:rFonts w:hint="eastAsia" w:asciiTheme="minorEastAsia" w:hAnsiTheme="minorEastAsia" w:eastAsiaTheme="minorEastAsia"/>
          <w:sz w:val="24"/>
        </w:rPr>
        <w:t>.5</w:t>
      </w:r>
      <w:r>
        <w:rPr>
          <w:rFonts w:asciiTheme="minorEastAsia" w:hAnsiTheme="minorEastAsia" w:eastAsiaTheme="minorEastAsia"/>
          <w:sz w:val="24"/>
        </w:rPr>
        <w:t>%（若发包人公布了最高投标限价时，按最高投标限价的1</w:t>
      </w:r>
      <w:r>
        <w:rPr>
          <w:rFonts w:hint="eastAsia" w:asciiTheme="minorEastAsia" w:hAnsiTheme="minorEastAsia" w:eastAsiaTheme="minorEastAsia"/>
          <w:sz w:val="24"/>
        </w:rPr>
        <w:t>.5</w:t>
      </w:r>
      <w:r>
        <w:rPr>
          <w:rFonts w:asciiTheme="minorEastAsia" w:hAnsiTheme="minorEastAsia" w:eastAsiaTheme="minorEastAsia"/>
          <w:sz w:val="24"/>
        </w:rPr>
        <w:t>%计）。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特殊防护措施增加的费用，由监理人按第3.5款商定或确定。</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本款补充第9.2.8项</w:t>
      </w:r>
      <w:r>
        <w:rPr>
          <w:rFonts w:hint="eastAsia" w:asciiTheme="minorEastAsia" w:hAnsiTheme="minorEastAsia" w:eastAsiaTheme="minorEastAsia"/>
          <w:sz w:val="24"/>
        </w:rPr>
        <w:t>~</w:t>
      </w:r>
      <w:r>
        <w:rPr>
          <w:rFonts w:asciiTheme="minorEastAsia" w:hAnsiTheme="minorEastAsia" w:eastAsiaTheme="minorEastAsia"/>
          <w:sz w:val="24"/>
        </w:rPr>
        <w:t>第9.2.11项：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9.2.8 承包人应充分关注和保障所有在现场工作的人员的安全，采取以下有效措施，使现场和本合同工程的实施保持有条不紊，以免使上述人员的安全受到威胁。</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（1）按《公路水运工程安全生产监督管理办法》规定的最低数量和资质条件配备专职安全生产管理人员；</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（3）所有施工机具设备和高空作业设备均应定期检查，并有安全员的签字记录；</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（4）根据本合同各单位工程的施工特点，严格执行《公路水运工程安全生产监督管理办法》《公路工程施工安全技术</w:t>
      </w:r>
      <w:r>
        <w:rPr>
          <w:rFonts w:hint="eastAsia" w:asciiTheme="minorEastAsia" w:hAnsiTheme="minorEastAsia" w:eastAsiaTheme="minorEastAsia"/>
          <w:sz w:val="24"/>
        </w:rPr>
        <w:t>规范</w:t>
      </w:r>
      <w:r>
        <w:rPr>
          <w:rFonts w:asciiTheme="minorEastAsia" w:hAnsiTheme="minorEastAsia" w:eastAsiaTheme="minorEastAsia"/>
          <w:sz w:val="24"/>
        </w:rPr>
        <w:t>》</w:t>
      </w:r>
      <w:r>
        <w:rPr>
          <w:rFonts w:hint="eastAsia" w:asciiTheme="minorEastAsia" w:hAnsiTheme="minorEastAsia" w:eastAsiaTheme="minorEastAsia"/>
          <w:sz w:val="24"/>
        </w:rPr>
        <w:t>等</w:t>
      </w:r>
      <w:r>
        <w:rPr>
          <w:rFonts w:asciiTheme="minorEastAsia" w:hAnsiTheme="minorEastAsia" w:eastAsiaTheme="minorEastAsia"/>
          <w:sz w:val="24"/>
        </w:rPr>
        <w:t>有关规定。</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9.2.9 为了保护本合同工程免遭损坏，或为了现场附近和过往群众的安全与方便，在确有必要的时候和地方，或当监理人或有关主管部门要求时，承包人应自费提供照明、警卫、护栅、警告标志等安全防护设施。</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9.2.10 在通航水域施工时，承包人应与当地主管部门取得联系，设置必要的导航标志，及时发布航行通告，确保施工水域安全。</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9.2.11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pPr>
        <w:rPr>
          <w:rFonts w:asciiTheme="minorEastAsia" w:hAnsiTheme="minorEastAsia" w:eastAsiaTheme="minorEastAsia"/>
          <w:b/>
          <w:sz w:val="24"/>
        </w:rPr>
      </w:pPr>
      <w:bookmarkStart w:id="406" w:name="_Toc234833156"/>
      <w:bookmarkStart w:id="407" w:name="_Toc9352946"/>
      <w:r>
        <w:rPr>
          <w:rFonts w:asciiTheme="minorEastAsia" w:hAnsiTheme="minorEastAsia" w:eastAsiaTheme="minorEastAsia"/>
          <w:sz w:val="24"/>
        </w:rPr>
        <w:t>9.4 环境保护</w:t>
      </w:r>
      <w:bookmarkEnd w:id="406"/>
      <w:bookmarkEnd w:id="407"/>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本款补充第9.4.7项</w:t>
      </w:r>
      <w:r>
        <w:rPr>
          <w:rFonts w:hint="eastAsia" w:asciiTheme="minorEastAsia" w:hAnsiTheme="minorEastAsia" w:eastAsiaTheme="minorEastAsia"/>
          <w:sz w:val="24"/>
        </w:rPr>
        <w:t>~</w:t>
      </w:r>
      <w:r>
        <w:rPr>
          <w:rFonts w:asciiTheme="minorEastAsia" w:hAnsiTheme="minorEastAsia" w:eastAsiaTheme="minorEastAsia"/>
          <w:sz w:val="24"/>
        </w:rPr>
        <w:t>第9.4.11项：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9.4.7 承包人应切实执行技术规范中有关环境保护方面的条款和规定。</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150m以内的施工现场，施工时间应加以控制。</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（2）对于公路施工中粉尘污染的主要污染源――灰土拌和、施工车辆和筑路机械运行及运输产生的扬尘，应采取有效措施减轻</w:t>
      </w:r>
      <w:r>
        <w:rPr>
          <w:rFonts w:hint="eastAsia" w:asciiTheme="minorEastAsia" w:hAnsiTheme="minorEastAsia" w:eastAsiaTheme="minorEastAsia"/>
          <w:sz w:val="24"/>
        </w:rPr>
        <w:t>其对</w:t>
      </w:r>
      <w:r>
        <w:rPr>
          <w:rFonts w:asciiTheme="minorEastAsia" w:hAnsiTheme="minorEastAsia" w:eastAsiaTheme="minorEastAsia"/>
          <w:sz w:val="24"/>
        </w:rPr>
        <w:t>施工现场的大气污染，保护人民健康，如：</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a. 拌和设备应有较好的密封，或有防尘设备。</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b. 施工通道、沥青混凝土拌和站及灰土拌和站应经常进行洒水降尘。</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c. 路面施工应注意保持</w:t>
      </w:r>
      <w:r>
        <w:rPr>
          <w:rFonts w:hint="eastAsia" w:asciiTheme="minorEastAsia" w:hAnsiTheme="minorEastAsia" w:eastAsiaTheme="minorEastAsia"/>
          <w:sz w:val="24"/>
        </w:rPr>
        <w:t>水分</w:t>
      </w:r>
      <w:r>
        <w:rPr>
          <w:rFonts w:asciiTheme="minorEastAsia" w:hAnsiTheme="minorEastAsia" w:eastAsiaTheme="minorEastAsia"/>
          <w:sz w:val="24"/>
        </w:rPr>
        <w:t>，以免扬尘。</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d. 隧道出渣和桥梁钻孔灌注桩施工时排</w:t>
      </w:r>
      <w:r>
        <w:rPr>
          <w:rFonts w:hint="eastAsia" w:asciiTheme="minorEastAsia" w:hAnsiTheme="minorEastAsia" w:eastAsiaTheme="minorEastAsia"/>
          <w:sz w:val="24"/>
        </w:rPr>
        <w:t>出</w:t>
      </w:r>
      <w:r>
        <w:rPr>
          <w:rFonts w:asciiTheme="minorEastAsia" w:hAnsiTheme="minorEastAsia" w:eastAsiaTheme="minorEastAsia"/>
          <w:sz w:val="24"/>
        </w:rPr>
        <w:t>的泥浆要进行妥善处理，严禁向河流或农田排放。</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（3）采取可靠措施保证原有交通的正常通行，维持沿线村镇的居民饮水、农田灌溉、生产生活用电及通信等管线的正常使用。</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9.4.8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9.4.9在施工期间，承包人应随时保持现场整洁，施工设备和材料、工程设备应整齐妥善存放和</w:t>
      </w:r>
      <w:r>
        <w:rPr>
          <w:rFonts w:hint="eastAsia" w:asciiTheme="minorEastAsia" w:hAnsiTheme="minorEastAsia" w:eastAsiaTheme="minorEastAsia"/>
          <w:sz w:val="24"/>
        </w:rPr>
        <w:t>储</w:t>
      </w:r>
      <w:r>
        <w:rPr>
          <w:rFonts w:asciiTheme="minorEastAsia" w:hAnsiTheme="minorEastAsia" w:eastAsiaTheme="minorEastAsia"/>
          <w:sz w:val="24"/>
        </w:rPr>
        <w:t>存，废料与垃圾及不再需要的临时设施应及时从现场清除、拆除并运走。</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9.4.10 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9.4.11 承包人应严格按照国家有关法规要求，做好施工过程中的生态保护和水土保持工作。施工中要尽可能减少对原地面的扰动，减少对地面草木的破坏，需要爆破作业的，应按规定进行控爆设计。雨季填筑路基应随挖、随运、随填、随压，要完善施工中的临时排水系统，加强施工便道的管理。取（弃）土场必须先挡后弃，严禁在指定的取（弃）土场以外的地方乱挖乱弃。</w:t>
      </w:r>
    </w:p>
    <w:p>
      <w:pPr>
        <w:rPr>
          <w:rFonts w:asciiTheme="minorEastAsia" w:hAnsiTheme="minorEastAsia" w:eastAsiaTheme="minorEastAsia"/>
          <w:b/>
          <w:sz w:val="24"/>
        </w:rPr>
      </w:pPr>
      <w:bookmarkStart w:id="408" w:name="_Toc234833157"/>
      <w:bookmarkStart w:id="409" w:name="_Toc9352947"/>
      <w:r>
        <w:rPr>
          <w:rFonts w:asciiTheme="minorEastAsia" w:hAnsiTheme="minorEastAsia" w:eastAsiaTheme="minorEastAsia"/>
          <w:b/>
          <w:sz w:val="24"/>
        </w:rPr>
        <w:t>10. 进度计划</w:t>
      </w:r>
      <w:bookmarkEnd w:id="408"/>
      <w:bookmarkEnd w:id="409"/>
    </w:p>
    <w:p>
      <w:pPr>
        <w:rPr>
          <w:rFonts w:asciiTheme="minorEastAsia" w:hAnsiTheme="minorEastAsia" w:eastAsiaTheme="minorEastAsia"/>
          <w:b/>
          <w:sz w:val="24"/>
        </w:rPr>
      </w:pPr>
      <w:bookmarkStart w:id="410" w:name="_Toc9352948"/>
      <w:bookmarkStart w:id="411" w:name="_Toc234833158"/>
      <w:r>
        <w:rPr>
          <w:rFonts w:asciiTheme="minorEastAsia" w:hAnsiTheme="minorEastAsia" w:eastAsiaTheme="minorEastAsia"/>
          <w:sz w:val="24"/>
        </w:rPr>
        <w:t>10.1 合同进度计划</w:t>
      </w:r>
      <w:bookmarkEnd w:id="410"/>
      <w:bookmarkEnd w:id="411"/>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承包人编制施工方案</w:t>
      </w:r>
      <w:r>
        <w:rPr>
          <w:rFonts w:hint="eastAsia" w:asciiTheme="minorEastAsia" w:hAnsiTheme="minorEastAsia" w:eastAsiaTheme="minorEastAsia"/>
          <w:sz w:val="24"/>
        </w:rPr>
        <w:t>说明</w:t>
      </w:r>
      <w:r>
        <w:rPr>
          <w:rFonts w:asciiTheme="minorEastAsia" w:hAnsiTheme="minorEastAsia" w:eastAsiaTheme="minorEastAsia"/>
          <w:sz w:val="24"/>
        </w:rPr>
        <w:t>的内容见项目专用合同条款。</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承包人向监理人报送施工进度计划和施工方案说明的期限：签订合同协议书后28天之内。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监理人应在14天内对承包人施工进度计划和施工方案说明予以批复或提出修改意见。</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合同进度计划应按照关键线路网络图和主要工作横道图两种形式分别编绘，并应包括每月预计完成的工作量和形象进度。</w:t>
      </w:r>
    </w:p>
    <w:p>
      <w:pPr>
        <w:rPr>
          <w:rFonts w:asciiTheme="minorEastAsia" w:hAnsiTheme="minorEastAsia" w:eastAsiaTheme="minorEastAsia"/>
          <w:b/>
          <w:sz w:val="24"/>
        </w:rPr>
      </w:pPr>
      <w:bookmarkStart w:id="412" w:name="_Toc9352949"/>
      <w:bookmarkStart w:id="413" w:name="_Toc234833159"/>
      <w:r>
        <w:rPr>
          <w:rFonts w:asciiTheme="minorEastAsia" w:hAnsiTheme="minorEastAsia" w:eastAsiaTheme="minorEastAsia"/>
          <w:sz w:val="24"/>
        </w:rPr>
        <w:t>10.2 合同进度计划的修订</w:t>
      </w:r>
      <w:bookmarkEnd w:id="412"/>
      <w:bookmarkEnd w:id="413"/>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本款补充：</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承包人提交合同进度计划修订申请报告，并附有关措施和相关资料的期限：实际进度发生滞后的当月25日前。</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监理人批复修订合同进度计划的期限：收到修订合同进度计划后14天内。</w:t>
      </w:r>
    </w:p>
    <w:p>
      <w:pPr>
        <w:spacing w:beforeLines="100" w:line="400" w:lineRule="atLeast"/>
        <w:rPr>
          <w:rFonts w:asciiTheme="minorEastAsia" w:hAnsiTheme="minorEastAsia" w:eastAsiaTheme="minorEastAsia"/>
          <w:sz w:val="24"/>
        </w:rPr>
      </w:pPr>
      <w:r>
        <w:rPr>
          <w:rFonts w:hint="eastAsia" w:asciiTheme="minorEastAsia" w:hAnsiTheme="minorEastAsia" w:eastAsiaTheme="minorEastAsia"/>
          <w:sz w:val="24"/>
        </w:rPr>
        <w:t>本条</w:t>
      </w:r>
      <w:r>
        <w:rPr>
          <w:rFonts w:asciiTheme="minorEastAsia" w:hAnsiTheme="minorEastAsia" w:eastAsiaTheme="minorEastAsia"/>
          <w:sz w:val="24"/>
        </w:rPr>
        <w:t>补充第10.3款、第10.4款：</w:t>
      </w:r>
    </w:p>
    <w:p>
      <w:pPr>
        <w:rPr>
          <w:rFonts w:asciiTheme="minorEastAsia" w:hAnsiTheme="minorEastAsia" w:eastAsiaTheme="minorEastAsia"/>
          <w:b/>
          <w:sz w:val="24"/>
        </w:rPr>
      </w:pPr>
      <w:bookmarkStart w:id="414" w:name="_Toc9352950"/>
      <w:bookmarkStart w:id="415" w:name="_Toc234833160"/>
      <w:r>
        <w:rPr>
          <w:rFonts w:asciiTheme="minorEastAsia" w:hAnsiTheme="minorEastAsia" w:eastAsiaTheme="minorEastAsia"/>
          <w:sz w:val="24"/>
        </w:rPr>
        <w:t>10.3 年度施工计划</w:t>
      </w:r>
      <w:bookmarkEnd w:id="414"/>
      <w:bookmarkEnd w:id="415"/>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承包人应在每年11月底前，根据已同意的合同进度计划或其修订的计划，向监理人提交2份格式和内容符合监理人合理规定的下一年度的施工计划，以供审查。该计划应包括本年度估计完成的和下一年度预计完成的分项工程数量和工作量，以及为实施此计划将采取的措施。</w:t>
      </w:r>
    </w:p>
    <w:p>
      <w:pPr>
        <w:rPr>
          <w:rFonts w:asciiTheme="minorEastAsia" w:hAnsiTheme="minorEastAsia" w:eastAsiaTheme="minorEastAsia"/>
          <w:b/>
          <w:sz w:val="24"/>
        </w:rPr>
      </w:pPr>
      <w:bookmarkStart w:id="416" w:name="_Toc234833161"/>
      <w:bookmarkStart w:id="417" w:name="_Toc9352951"/>
      <w:r>
        <w:rPr>
          <w:rFonts w:asciiTheme="minorEastAsia" w:hAnsiTheme="minorEastAsia" w:eastAsiaTheme="minorEastAsia"/>
          <w:sz w:val="24"/>
        </w:rPr>
        <w:t>10.4 合同用款计划</w:t>
      </w:r>
      <w:bookmarkEnd w:id="416"/>
      <w:bookmarkEnd w:id="417"/>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承包人应在签订本合同协议书后28天之内，按招标文件中规定的格式，向监理人提交2份按合同规定承包人有权得到支付的详细的季度合同用款计划，以备监理人查阅。如果监理人提出要求，承包人还应按季度提交修订的合同用款计划。</w:t>
      </w:r>
    </w:p>
    <w:p>
      <w:pPr>
        <w:rPr>
          <w:rFonts w:asciiTheme="minorEastAsia" w:hAnsiTheme="minorEastAsia" w:eastAsiaTheme="minorEastAsia"/>
          <w:b/>
          <w:sz w:val="24"/>
        </w:rPr>
      </w:pPr>
      <w:bookmarkStart w:id="418" w:name="_Toc234833162"/>
      <w:bookmarkStart w:id="419" w:name="_Toc9352952"/>
      <w:r>
        <w:rPr>
          <w:rFonts w:asciiTheme="minorEastAsia" w:hAnsiTheme="minorEastAsia" w:eastAsiaTheme="minorEastAsia"/>
          <w:b/>
          <w:sz w:val="24"/>
        </w:rPr>
        <w:t>11. 开工和交工</w:t>
      </w:r>
      <w:bookmarkEnd w:id="418"/>
      <w:bookmarkEnd w:id="419"/>
    </w:p>
    <w:p>
      <w:pPr>
        <w:rPr>
          <w:rFonts w:asciiTheme="minorEastAsia" w:hAnsiTheme="minorEastAsia" w:eastAsiaTheme="minorEastAsia"/>
          <w:b/>
          <w:sz w:val="24"/>
        </w:rPr>
      </w:pPr>
      <w:bookmarkStart w:id="420" w:name="_Toc234833163"/>
      <w:bookmarkStart w:id="421" w:name="_Toc9352953"/>
      <w:r>
        <w:rPr>
          <w:rFonts w:asciiTheme="minorEastAsia" w:hAnsiTheme="minorEastAsia" w:eastAsiaTheme="minorEastAsia"/>
          <w:sz w:val="24"/>
        </w:rPr>
        <w:t>11.1 开工</w:t>
      </w:r>
      <w:bookmarkEnd w:id="420"/>
      <w:bookmarkEnd w:id="421"/>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第11.1.2项补充：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承包人应在分部工程开工前14天向监理人提交分部工程开工报审表，若承包人的开工准备、工作计划和质量控制方法是可接受的且已获得批准，则经监理人书面同意，分部工程才能开工。</w:t>
      </w:r>
    </w:p>
    <w:p>
      <w:pPr>
        <w:rPr>
          <w:rFonts w:asciiTheme="minorEastAsia" w:hAnsiTheme="minorEastAsia" w:eastAsiaTheme="minorEastAsia"/>
          <w:b/>
          <w:sz w:val="24"/>
        </w:rPr>
      </w:pPr>
      <w:bookmarkStart w:id="422" w:name="_Toc234833164"/>
      <w:bookmarkStart w:id="423" w:name="_Toc9352954"/>
      <w:r>
        <w:rPr>
          <w:rFonts w:asciiTheme="minorEastAsia" w:hAnsiTheme="minorEastAsia" w:eastAsiaTheme="minorEastAsia"/>
          <w:sz w:val="24"/>
        </w:rPr>
        <w:t>11.3 发包人的工期延误</w:t>
      </w:r>
      <w:bookmarkEnd w:id="422"/>
      <w:bookmarkEnd w:id="423"/>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w:t>
      </w:r>
    </w:p>
    <w:p>
      <w:pPr>
        <w:spacing w:line="400" w:lineRule="atLeast"/>
        <w:ind w:firstLine="480" w:firstLineChars="200"/>
        <w:rPr>
          <w:rFonts w:asciiTheme="minorEastAsia" w:hAnsiTheme="minorEastAsia" w:eastAsiaTheme="minorEastAsia"/>
          <w:color w:val="FF0000"/>
          <w:sz w:val="24"/>
        </w:rPr>
      </w:pPr>
      <w:r>
        <w:rPr>
          <w:rFonts w:asciiTheme="minorEastAsia" w:hAnsiTheme="minorEastAsia" w:eastAsiaTheme="minorEastAsia"/>
          <w:color w:val="FF0000"/>
          <w:sz w:val="24"/>
        </w:rPr>
        <w:t>即使由于上述原因造成工期延误，如果受影响的工程并非处在工程施工进度网络计划的关键线路上，</w:t>
      </w:r>
      <w:r>
        <w:rPr>
          <w:rFonts w:hint="eastAsia" w:asciiTheme="minorEastAsia" w:hAnsiTheme="minorEastAsia" w:eastAsiaTheme="minorEastAsia"/>
          <w:color w:val="FF0000"/>
          <w:sz w:val="24"/>
        </w:rPr>
        <w:t>则</w:t>
      </w:r>
      <w:r>
        <w:rPr>
          <w:rFonts w:asciiTheme="minorEastAsia" w:hAnsiTheme="minorEastAsia" w:eastAsiaTheme="minorEastAsia"/>
          <w:color w:val="FF0000"/>
          <w:sz w:val="24"/>
        </w:rPr>
        <w:t>承包人无权要求延长总工期。</w:t>
      </w:r>
    </w:p>
    <w:p>
      <w:pPr>
        <w:rPr>
          <w:rFonts w:asciiTheme="minorEastAsia" w:hAnsiTheme="minorEastAsia" w:eastAsiaTheme="minorEastAsia"/>
          <w:b/>
          <w:sz w:val="24"/>
        </w:rPr>
      </w:pPr>
      <w:bookmarkStart w:id="424" w:name="_Toc234833165"/>
      <w:bookmarkStart w:id="425" w:name="_Toc9352955"/>
      <w:r>
        <w:rPr>
          <w:rFonts w:asciiTheme="minorEastAsia" w:hAnsiTheme="minorEastAsia" w:eastAsiaTheme="minorEastAsia"/>
          <w:sz w:val="24"/>
        </w:rPr>
        <w:t>11.4异常恶劣的气候条件</w:t>
      </w:r>
      <w:bookmarkEnd w:id="424"/>
      <w:bookmarkEnd w:id="425"/>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w:t>
      </w:r>
    </w:p>
    <w:p>
      <w:pPr>
        <w:spacing w:line="400" w:lineRule="atLeast"/>
        <w:ind w:firstLine="480" w:firstLineChars="200"/>
        <w:rPr>
          <w:rFonts w:asciiTheme="minorEastAsia" w:hAnsiTheme="minorEastAsia" w:eastAsiaTheme="minorEastAsia"/>
          <w:color w:val="FF0000"/>
          <w:sz w:val="24"/>
        </w:rPr>
      </w:pPr>
      <w:r>
        <w:rPr>
          <w:rFonts w:asciiTheme="minorEastAsia" w:hAnsiTheme="minorEastAsia" w:eastAsiaTheme="minorEastAsia"/>
          <w:color w:val="FF0000"/>
          <w:sz w:val="24"/>
        </w:rPr>
        <w:t>异常气候是指项目所在地30年以上一遇的罕见气候现象（包括</w:t>
      </w:r>
      <w:r>
        <w:fldChar w:fldCharType="begin"/>
      </w:r>
      <w:r>
        <w:instrText xml:space="preserve"> HYPERLINK "http://baike.baidu.com/view/8193.htm" \t "_blank" </w:instrText>
      </w:r>
      <w:r>
        <w:fldChar w:fldCharType="separate"/>
      </w:r>
      <w:r>
        <w:rPr>
          <w:rFonts w:asciiTheme="minorEastAsia" w:hAnsiTheme="minorEastAsia" w:eastAsiaTheme="minorEastAsia"/>
          <w:color w:val="FF0000"/>
          <w:sz w:val="24"/>
        </w:rPr>
        <w:t>温度</w:t>
      </w:r>
      <w:r>
        <w:rPr>
          <w:rFonts w:asciiTheme="minorEastAsia" w:hAnsiTheme="minorEastAsia" w:eastAsiaTheme="minorEastAsia"/>
          <w:color w:val="FF0000"/>
          <w:sz w:val="24"/>
        </w:rPr>
        <w:fldChar w:fldCharType="end"/>
      </w:r>
      <w:r>
        <w:rPr>
          <w:rFonts w:asciiTheme="minorEastAsia" w:hAnsiTheme="minorEastAsia" w:eastAsiaTheme="minorEastAsia"/>
          <w:color w:val="FF0000"/>
          <w:sz w:val="24"/>
        </w:rPr>
        <w:t>、降水、降雪、风等）。异常恶劣的气候条件在项目专用合同条款中作具体</w:t>
      </w:r>
      <w:r>
        <w:rPr>
          <w:rFonts w:hint="eastAsia" w:asciiTheme="minorEastAsia" w:hAnsiTheme="minorEastAsia" w:eastAsiaTheme="minorEastAsia"/>
          <w:color w:val="FF0000"/>
          <w:sz w:val="24"/>
        </w:rPr>
        <w:t>约</w:t>
      </w:r>
      <w:r>
        <w:rPr>
          <w:rFonts w:asciiTheme="minorEastAsia" w:hAnsiTheme="minorEastAsia" w:eastAsiaTheme="minorEastAsia"/>
          <w:color w:val="FF0000"/>
          <w:sz w:val="24"/>
        </w:rPr>
        <w:t>定。</w:t>
      </w:r>
    </w:p>
    <w:p>
      <w:pPr>
        <w:rPr>
          <w:rFonts w:asciiTheme="minorEastAsia" w:hAnsiTheme="minorEastAsia" w:eastAsiaTheme="minorEastAsia"/>
          <w:b/>
          <w:sz w:val="24"/>
        </w:rPr>
      </w:pPr>
      <w:bookmarkStart w:id="426" w:name="_Toc234833166"/>
      <w:bookmarkStart w:id="427" w:name="_Toc9352956"/>
      <w:r>
        <w:rPr>
          <w:rFonts w:asciiTheme="minorEastAsia" w:hAnsiTheme="minorEastAsia" w:eastAsiaTheme="minorEastAsia"/>
          <w:sz w:val="24"/>
        </w:rPr>
        <w:t>11.5 承包人的工期延误</w:t>
      </w:r>
      <w:bookmarkEnd w:id="426"/>
      <w:bookmarkEnd w:id="427"/>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承包人应严格执行监理人批准的合同进度计划，对工作量计划和形象进度计划分别控制。除第11.3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如果承包人在接到监理人通知后的14天内，未能采取加快工程进度的措施，致使实际工程进度进一步滞后，或承包人虽采取了一些措施，仍无法按预计工期交工时，监理人应立即通知发包人。发包人在向承包人发出书面警告通知14天后，发包人可按第22.1款终止对承包人的雇用，也可将本合同工程中的一部分工作交由其他承包人或其他分包人完成。在不解除本合同规定的承包人责任和义务的同时，承包人应承担因此所增加的一切费用。</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由于承包人原因造成工期延误，承包人应支付逾期交工违约金。逾期交工违约金的计算方法在项目专用合同条款数据表中约定，时间自预定的交工日期起到交工验收证书中写明的实际交工日期止（扣除已批准的延长工期），按天计算。逾期交工违约金累计金额最高不超过项目专用合同条款数据表中写明的限额。发包人可以从应付或到期应付给承包人的任何款项中或采用其他方法扣除此违约金。</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（4）承包人支付逾期交工违约金，不免除承包人完成工程及修补缺陷的义务。</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如果在合同工程完工之前，已对合同工程内按时完工的单位工程签发了交工验收证书，则合同工程的逾期交工违约金，应按已签发交工验收证书的单位工程的价值占合同工程价值的比例予以减少，但本规定不应影响逾期交工违约金的规定限额。</w:t>
      </w:r>
    </w:p>
    <w:p>
      <w:pPr>
        <w:rPr>
          <w:rFonts w:asciiTheme="minorEastAsia" w:hAnsiTheme="minorEastAsia" w:eastAsiaTheme="minorEastAsia"/>
          <w:b/>
          <w:sz w:val="24"/>
        </w:rPr>
      </w:pPr>
      <w:bookmarkStart w:id="428" w:name="_Toc234833167"/>
      <w:bookmarkStart w:id="429" w:name="_Toc9352957"/>
      <w:r>
        <w:rPr>
          <w:rFonts w:asciiTheme="minorEastAsia" w:hAnsiTheme="minorEastAsia" w:eastAsiaTheme="minorEastAsia"/>
          <w:sz w:val="24"/>
        </w:rPr>
        <w:t>11.6 工期提前</w:t>
      </w:r>
      <w:bookmarkEnd w:id="428"/>
      <w:bookmarkEnd w:id="429"/>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发包人不得随意要求承包人提前交工，承包人也不得随意提出提前交工的建议。如遇特殊情况，确需将工期提前的，发包人和承包人必须采取有效措施，确保工程质量。</w:t>
      </w:r>
    </w:p>
    <w:p>
      <w:pPr>
        <w:spacing w:line="400" w:lineRule="atLeast"/>
        <w:ind w:firstLine="480" w:firstLineChars="200"/>
        <w:rPr>
          <w:rFonts w:asciiTheme="minorEastAsia" w:hAnsiTheme="minorEastAsia" w:eastAsiaTheme="minorEastAsia"/>
          <w:color w:val="FF0000"/>
          <w:sz w:val="24"/>
        </w:rPr>
      </w:pPr>
      <w:r>
        <w:rPr>
          <w:rFonts w:asciiTheme="minorEastAsia" w:hAnsiTheme="minorEastAsia" w:eastAsiaTheme="minorEastAsia"/>
          <w:color w:val="FF0000"/>
          <w:sz w:val="24"/>
        </w:rPr>
        <w:t>如果承包人提前交工，发包人支付奖金的计算方法在项目专用合同条款数据表中约定，时间自交工验收证书中写明的实际交工日期起至预定的交工日期止，按天计算。但奖金最高限额不超过项目专用合同条款数据表中写明的限额。</w:t>
      </w:r>
    </w:p>
    <w:p>
      <w:pPr>
        <w:spacing w:line="400" w:lineRule="atLeast"/>
        <w:ind w:firstLine="480" w:firstLineChars="200"/>
        <w:rPr>
          <w:rFonts w:asciiTheme="minorEastAsia" w:hAnsiTheme="minorEastAsia" w:eastAsiaTheme="minorEastAsia"/>
          <w:sz w:val="24"/>
        </w:rPr>
      </w:pPr>
    </w:p>
    <w:p>
      <w:pPr>
        <w:spacing w:line="400" w:lineRule="atLeast"/>
        <w:rPr>
          <w:rFonts w:asciiTheme="minorEastAsia" w:hAnsiTheme="minorEastAsia" w:eastAsiaTheme="minorEastAsia"/>
          <w:sz w:val="24"/>
        </w:rPr>
      </w:pPr>
      <w:r>
        <w:rPr>
          <w:rFonts w:hint="eastAsia" w:asciiTheme="minorEastAsia" w:hAnsiTheme="minorEastAsia" w:eastAsiaTheme="minorEastAsia"/>
          <w:sz w:val="24"/>
        </w:rPr>
        <w:t>本条</w:t>
      </w:r>
      <w:r>
        <w:rPr>
          <w:rFonts w:asciiTheme="minorEastAsia" w:hAnsiTheme="minorEastAsia" w:eastAsiaTheme="minorEastAsia"/>
          <w:sz w:val="24"/>
        </w:rPr>
        <w:t>补充第11.7款：</w:t>
      </w:r>
    </w:p>
    <w:p>
      <w:pPr>
        <w:rPr>
          <w:rFonts w:asciiTheme="minorEastAsia" w:hAnsiTheme="minorEastAsia" w:eastAsiaTheme="minorEastAsia"/>
          <w:b/>
          <w:sz w:val="24"/>
        </w:rPr>
      </w:pPr>
      <w:bookmarkStart w:id="430" w:name="_Toc234833168"/>
      <w:bookmarkStart w:id="431" w:name="_Toc9352958"/>
      <w:r>
        <w:rPr>
          <w:rFonts w:asciiTheme="minorEastAsia" w:hAnsiTheme="minorEastAsia" w:eastAsiaTheme="minorEastAsia"/>
          <w:sz w:val="24"/>
        </w:rPr>
        <w:t>11.7 工作时间的限制</w:t>
      </w:r>
      <w:bookmarkEnd w:id="430"/>
      <w:bookmarkEnd w:id="431"/>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承包人在夜间或国家规定的节假日进行永久工程的施工，应向监理人报告，以便监理人履行监理职责和义务。</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但是，为了抢救生命或保护财产，或为了工程的安全、质量而不可避免地短暂作业，则不必事先向监理人报告。但承包人应在事后立即向监理人报告。</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本款规定不适用于习惯上或施工本身要求实行连续生产的作业。</w:t>
      </w:r>
    </w:p>
    <w:p>
      <w:pPr>
        <w:rPr>
          <w:rFonts w:asciiTheme="minorEastAsia" w:hAnsiTheme="minorEastAsia" w:eastAsiaTheme="minorEastAsia"/>
          <w:b/>
          <w:sz w:val="24"/>
        </w:rPr>
      </w:pPr>
      <w:bookmarkStart w:id="432" w:name="_Toc234833169"/>
      <w:bookmarkStart w:id="433" w:name="_Toc9352959"/>
      <w:r>
        <w:rPr>
          <w:rFonts w:asciiTheme="minorEastAsia" w:hAnsiTheme="minorEastAsia" w:eastAsiaTheme="minorEastAsia"/>
          <w:b/>
          <w:sz w:val="24"/>
        </w:rPr>
        <w:t>12. 暂停施工</w:t>
      </w:r>
      <w:bookmarkEnd w:id="432"/>
      <w:bookmarkEnd w:id="433"/>
    </w:p>
    <w:p>
      <w:pPr>
        <w:rPr>
          <w:rFonts w:asciiTheme="minorEastAsia" w:hAnsiTheme="minorEastAsia" w:eastAsiaTheme="minorEastAsia"/>
          <w:b/>
          <w:sz w:val="24"/>
        </w:rPr>
      </w:pPr>
      <w:bookmarkStart w:id="434" w:name="_Toc234833170"/>
      <w:bookmarkStart w:id="435" w:name="_Toc9352960"/>
      <w:r>
        <w:rPr>
          <w:rFonts w:asciiTheme="minorEastAsia" w:hAnsiTheme="minorEastAsia" w:eastAsiaTheme="minorEastAsia"/>
          <w:sz w:val="24"/>
        </w:rPr>
        <w:t>12.1 承包人暂停施工的责任</w:t>
      </w:r>
      <w:bookmarkEnd w:id="434"/>
      <w:bookmarkEnd w:id="435"/>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本款第（5）项</w:t>
      </w:r>
      <w:r>
        <w:rPr>
          <w:rFonts w:hint="eastAsia" w:asciiTheme="minorEastAsia" w:hAnsiTheme="minorEastAsia" w:eastAsiaTheme="minorEastAsia"/>
          <w:sz w:val="24"/>
        </w:rPr>
        <w:t>细化为</w:t>
      </w:r>
      <w:r>
        <w:rPr>
          <w:rFonts w:asciiTheme="minorEastAsia" w:hAnsiTheme="minorEastAsia" w:eastAsiaTheme="minorEastAsia"/>
          <w:sz w:val="24"/>
        </w:rPr>
        <w:t>：</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（5）现场气候条件导致的必要停工（第11.4款</w:t>
      </w:r>
      <w:r>
        <w:rPr>
          <w:rFonts w:hint="eastAsia" w:asciiTheme="minorEastAsia" w:hAnsiTheme="minorEastAsia" w:eastAsiaTheme="minorEastAsia"/>
          <w:sz w:val="24"/>
        </w:rPr>
        <w:t>约</w:t>
      </w:r>
      <w:r>
        <w:rPr>
          <w:rFonts w:asciiTheme="minorEastAsia" w:hAnsiTheme="minorEastAsia" w:eastAsiaTheme="minorEastAsia"/>
          <w:sz w:val="24"/>
        </w:rPr>
        <w:t>定的异常恶劣的气候条件除外）；</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（6）项目专用合同条款可能约定的由承包人承担的其他暂停施工。</w:t>
      </w:r>
    </w:p>
    <w:p>
      <w:pPr>
        <w:rPr>
          <w:rFonts w:asciiTheme="minorEastAsia" w:hAnsiTheme="minorEastAsia" w:eastAsiaTheme="minorEastAsia"/>
          <w:b/>
          <w:sz w:val="24"/>
        </w:rPr>
      </w:pPr>
      <w:bookmarkStart w:id="436" w:name="_Toc234833171"/>
      <w:bookmarkStart w:id="437" w:name="_Toc9352961"/>
      <w:r>
        <w:rPr>
          <w:rFonts w:asciiTheme="minorEastAsia" w:hAnsiTheme="minorEastAsia" w:eastAsiaTheme="minorEastAsia"/>
          <w:b/>
          <w:sz w:val="24"/>
        </w:rPr>
        <w:t>13. 工程质量</w:t>
      </w:r>
      <w:bookmarkEnd w:id="436"/>
      <w:bookmarkEnd w:id="437"/>
    </w:p>
    <w:p>
      <w:pPr>
        <w:rPr>
          <w:rFonts w:asciiTheme="minorEastAsia" w:hAnsiTheme="minorEastAsia" w:eastAsiaTheme="minorEastAsia"/>
          <w:b/>
          <w:sz w:val="24"/>
        </w:rPr>
      </w:pPr>
      <w:bookmarkStart w:id="438" w:name="_Toc234833172"/>
      <w:bookmarkStart w:id="439" w:name="_Toc9352962"/>
      <w:r>
        <w:rPr>
          <w:rFonts w:asciiTheme="minorEastAsia" w:hAnsiTheme="minorEastAsia" w:eastAsiaTheme="minorEastAsia"/>
          <w:sz w:val="24"/>
        </w:rPr>
        <w:t>13.1 工程质量要求</w:t>
      </w:r>
      <w:bookmarkEnd w:id="438"/>
      <w:bookmarkEnd w:id="439"/>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第13.1.1项约定为：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工程质量验收按技术规范及《公路工程质量检验评定标准》执行。</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本款补充第13.1.4项</w:t>
      </w:r>
      <w:r>
        <w:rPr>
          <w:rFonts w:hint="eastAsia" w:asciiTheme="minorEastAsia" w:hAnsiTheme="minorEastAsia" w:eastAsiaTheme="minorEastAsia"/>
          <w:sz w:val="24"/>
        </w:rPr>
        <w:t>、</w:t>
      </w:r>
      <w:r>
        <w:rPr>
          <w:rFonts w:asciiTheme="minorEastAsia" w:hAnsiTheme="minorEastAsia" w:eastAsiaTheme="minorEastAsia"/>
          <w:sz w:val="24"/>
        </w:rPr>
        <w:t>第13.1.5项：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13.1.4 </w:t>
      </w:r>
      <w:r>
        <w:rPr>
          <w:rFonts w:hint="eastAsia" w:asciiTheme="minorEastAsia" w:hAnsiTheme="minorEastAsia" w:eastAsiaTheme="minorEastAsia"/>
          <w:sz w:val="24"/>
        </w:rPr>
        <w:t>发包人和</w:t>
      </w:r>
      <w:r>
        <w:rPr>
          <w:rFonts w:asciiTheme="minorEastAsia" w:hAnsiTheme="minorEastAsia" w:eastAsiaTheme="minorEastAsia"/>
          <w:sz w:val="24"/>
        </w:rPr>
        <w:t>承包人应严格遵守《关于严格落实公路工程质量责任制的若干意见》的相关规定，认真执行工程质量责任登记制度并</w:t>
      </w:r>
      <w:r>
        <w:rPr>
          <w:rFonts w:asciiTheme="minorEastAsia" w:hAnsiTheme="minorEastAsia" w:eastAsiaTheme="minorEastAsia"/>
          <w:kern w:val="0"/>
          <w:sz w:val="24"/>
        </w:rPr>
        <w:t>按要求填写工程质量责任登记表</w:t>
      </w:r>
      <w:r>
        <w:rPr>
          <w:rFonts w:asciiTheme="minorEastAsia" w:hAnsiTheme="minorEastAsia" w:eastAsiaTheme="minorEastAsia"/>
          <w:sz w:val="24"/>
        </w:rPr>
        <w:t>。</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13.1.5 本项目严格执行质量责任追究制度。质量事故处理实行“四不放过”原则：事故原因调查不清不放过；事故责任者没有受到教育不放过；没有防范措施不放过；相关责任人没受到处理不放过。</w:t>
      </w:r>
    </w:p>
    <w:p>
      <w:pPr>
        <w:rPr>
          <w:rFonts w:asciiTheme="minorEastAsia" w:hAnsiTheme="minorEastAsia" w:eastAsiaTheme="minorEastAsia"/>
          <w:b/>
          <w:sz w:val="24"/>
        </w:rPr>
      </w:pPr>
      <w:bookmarkStart w:id="440" w:name="_Toc234833173"/>
      <w:bookmarkStart w:id="441" w:name="_Toc9352963"/>
      <w:r>
        <w:rPr>
          <w:rFonts w:asciiTheme="minorEastAsia" w:hAnsiTheme="minorEastAsia" w:eastAsiaTheme="minorEastAsia"/>
          <w:sz w:val="24"/>
        </w:rPr>
        <w:t>13.2 承包人的质量管理</w:t>
      </w:r>
      <w:bookmarkEnd w:id="440"/>
      <w:bookmarkEnd w:id="441"/>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第13.2.1项补充：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承包人提交工程质量保证措施文件的期限：签订合同协议书后28天之内。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本款补充第13.2.3项</w:t>
      </w:r>
      <w:r>
        <w:rPr>
          <w:rFonts w:hint="eastAsia" w:asciiTheme="minorEastAsia" w:hAnsiTheme="minorEastAsia" w:eastAsiaTheme="minorEastAsia"/>
          <w:sz w:val="24"/>
        </w:rPr>
        <w:t>~</w:t>
      </w:r>
      <w:r>
        <w:rPr>
          <w:rFonts w:asciiTheme="minorEastAsia" w:hAnsiTheme="minorEastAsia" w:eastAsiaTheme="minorEastAsia"/>
          <w:sz w:val="24"/>
        </w:rPr>
        <w:t>第13.2.</w:t>
      </w:r>
      <w:r>
        <w:rPr>
          <w:rFonts w:hint="eastAsia" w:asciiTheme="minorEastAsia" w:hAnsiTheme="minorEastAsia" w:eastAsiaTheme="minorEastAsia"/>
          <w:sz w:val="24"/>
        </w:rPr>
        <w:t>10</w:t>
      </w:r>
      <w:r>
        <w:rPr>
          <w:rFonts w:asciiTheme="minorEastAsia" w:hAnsiTheme="minorEastAsia" w:eastAsiaTheme="minorEastAsia"/>
          <w:sz w:val="24"/>
        </w:rPr>
        <w:t>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13.2.3</w:t>
      </w:r>
      <w:r>
        <w:rPr>
          <w:rFonts w:hint="eastAsia" w:asciiTheme="minorEastAsia" w:hAnsiTheme="minorEastAsia" w:eastAsiaTheme="minorEastAsia"/>
          <w:sz w:val="24"/>
        </w:rPr>
        <w:t xml:space="preserve"> 公路工程施行质量责任终身制。承包人应当书面明确相应的项目负责人和质量负责人。承包人的相关人员按照国家法律法规和有关规定在工程合理使用年限内承担相应的质量责任。</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13.2.</w:t>
      </w:r>
      <w:r>
        <w:rPr>
          <w:rFonts w:hint="eastAsia" w:asciiTheme="minorEastAsia" w:hAnsiTheme="minorEastAsia" w:eastAsiaTheme="minorEastAsia"/>
          <w:sz w:val="24"/>
        </w:rPr>
        <w:t>4 承包人应当建立健全工程质量保证体系，制定质量管理制度，强化工程质量管理措施，完善工程质量目标保障机制；严格</w:t>
      </w:r>
      <w:r>
        <w:rPr>
          <w:rFonts w:asciiTheme="minorEastAsia" w:hAnsiTheme="minorEastAsia" w:eastAsiaTheme="minorEastAsia"/>
          <w:sz w:val="24"/>
        </w:rPr>
        <w:t>遵守国家有关法律、法规和规章，严格执行公路工程强制性技术标准、各类技术规范及规程，全面履行工程合同义务。</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13.2.5 承包人对工程施工质量负责，应当按合同约定设立现场质量管理机构、配备工程技术人员和质量管理人员，落实工程施工质量责任制。</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13.2.6 承包人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13.2.7 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13.2.8 承包人应当按照合同约定设立工地临时试验室，</w:t>
      </w:r>
      <w:r>
        <w:rPr>
          <w:rFonts w:asciiTheme="minorEastAsia" w:hAnsiTheme="minorEastAsia" w:eastAsiaTheme="minorEastAsia"/>
          <w:sz w:val="24"/>
        </w:rPr>
        <w:t>配齐检测和试验仪器、仪表，及时校正确保其精度</w:t>
      </w:r>
      <w:r>
        <w:rPr>
          <w:rFonts w:hint="eastAsia" w:asciiTheme="minorEastAsia" w:hAnsiTheme="minorEastAsia" w:eastAsiaTheme="minorEastAsia"/>
          <w:sz w:val="24"/>
        </w:rPr>
        <w:t>；严格按照工程技术标准、检测规范和规程，在核定的试验检测参数范围内开展试验检测活动，并</w:t>
      </w:r>
      <w:r>
        <w:rPr>
          <w:rFonts w:asciiTheme="minorEastAsia" w:hAnsiTheme="minorEastAsia" w:eastAsiaTheme="minorEastAsia"/>
          <w:sz w:val="24"/>
        </w:rPr>
        <w:t>确保规范规定的检验、抽检频率</w:t>
      </w:r>
      <w:r>
        <w:rPr>
          <w:rFonts w:hint="eastAsia" w:asciiTheme="minorEastAsia" w:hAnsiTheme="minorEastAsia" w:eastAsiaTheme="minorEastAsia"/>
          <w:sz w:val="24"/>
        </w:rPr>
        <w:t>。承包人应当对其设立的工地临时试验室所出具的试验检测数据和报告的真实性、客观性、准确性负责。</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13.2.9 承包人应当依法规范分包行为，并对承担的工程质量负总责，分包单位对分包合同范围内的工程质量负责。</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13.2.10 </w:t>
      </w:r>
      <w:r>
        <w:rPr>
          <w:rFonts w:asciiTheme="minorEastAsia" w:hAnsiTheme="minorEastAsia" w:eastAsiaTheme="minorEastAsia"/>
          <w:sz w:val="24"/>
        </w:rPr>
        <w:t>承包人驻工程现场机构应在现场驻地和重要的分部、分项工程施工现场设置明显的工程质量责任登记表公示牌。</w:t>
      </w:r>
    </w:p>
    <w:p>
      <w:pPr>
        <w:rPr>
          <w:rFonts w:asciiTheme="minorEastAsia" w:hAnsiTheme="minorEastAsia" w:eastAsiaTheme="minorEastAsia"/>
          <w:b/>
          <w:sz w:val="24"/>
        </w:rPr>
      </w:pPr>
      <w:bookmarkStart w:id="442" w:name="_Toc234833174"/>
      <w:bookmarkStart w:id="443" w:name="_Toc9352964"/>
      <w:r>
        <w:rPr>
          <w:rFonts w:asciiTheme="minorEastAsia" w:hAnsiTheme="minorEastAsia" w:eastAsiaTheme="minorEastAsia"/>
          <w:sz w:val="24"/>
        </w:rPr>
        <w:t>13.4 监理人的质量检查</w:t>
      </w:r>
      <w:bookmarkEnd w:id="442"/>
      <w:bookmarkEnd w:id="443"/>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监理人及其委派的检验人员，应能进入工程现场，以及材料或工程设备的制造、加工或制配的车间和场所，包括不属于承包人的车间或场所进行检查，承包人应为此提供便利和协助。</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监理人可以将材料或工程设备的检查和检验委托给一家独立的有质量检验认证资格的检验单位。该独立检验单位的检验结果应视为监理人完成的。监理人应将这种委托的通知书不少于7天前交给承包人。</w:t>
      </w:r>
    </w:p>
    <w:p>
      <w:pPr>
        <w:rPr>
          <w:rFonts w:asciiTheme="minorEastAsia" w:hAnsiTheme="minorEastAsia" w:eastAsiaTheme="minorEastAsia"/>
          <w:b/>
          <w:sz w:val="24"/>
        </w:rPr>
      </w:pPr>
      <w:bookmarkStart w:id="444" w:name="_Toc234833175"/>
      <w:bookmarkStart w:id="445" w:name="_Toc9352965"/>
      <w:r>
        <w:rPr>
          <w:rFonts w:asciiTheme="minorEastAsia" w:hAnsiTheme="minorEastAsia" w:eastAsiaTheme="minorEastAsia"/>
          <w:sz w:val="24"/>
        </w:rPr>
        <w:t>13.5 工程隐蔽部位覆盖前的检查</w:t>
      </w:r>
      <w:bookmarkEnd w:id="444"/>
      <w:bookmarkEnd w:id="445"/>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第13.5.1项补充：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当监理人有指令时，承包人应对重要隐蔽工程进行拍摄或照相并应保证监理人有充分的机会对将要覆盖或掩蔽的工程进行检查和量测，特别是在基础以上的任一部分工程修筑之前，对该基础进行检查。</w:t>
      </w:r>
    </w:p>
    <w:p>
      <w:pPr>
        <w:rPr>
          <w:rFonts w:asciiTheme="minorEastAsia" w:hAnsiTheme="minorEastAsia" w:eastAsiaTheme="minorEastAsia"/>
          <w:b/>
          <w:sz w:val="24"/>
        </w:rPr>
      </w:pPr>
      <w:bookmarkStart w:id="446" w:name="_Toc234833176"/>
      <w:bookmarkStart w:id="447" w:name="_Toc9352966"/>
      <w:r>
        <w:rPr>
          <w:rFonts w:asciiTheme="minorEastAsia" w:hAnsiTheme="minorEastAsia" w:eastAsiaTheme="minorEastAsia"/>
          <w:sz w:val="24"/>
        </w:rPr>
        <w:t>13.6 清除不合格工程</w:t>
      </w:r>
      <w:bookmarkEnd w:id="446"/>
      <w:bookmarkEnd w:id="447"/>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第13.6.1项细化为：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（2）如果承包人未在规定时间内执行监理人的指示，发包人有权雇用他人执行，由此增加的费用和（或）工期延误由承包人承担。</w:t>
      </w:r>
    </w:p>
    <w:p>
      <w:pPr>
        <w:rPr>
          <w:rFonts w:asciiTheme="minorEastAsia" w:hAnsiTheme="minorEastAsia" w:eastAsiaTheme="minorEastAsia"/>
          <w:b/>
          <w:sz w:val="24"/>
        </w:rPr>
      </w:pPr>
      <w:bookmarkStart w:id="448" w:name="_Toc9352967"/>
      <w:bookmarkStart w:id="449" w:name="_Toc234833177"/>
      <w:r>
        <w:rPr>
          <w:rFonts w:asciiTheme="minorEastAsia" w:hAnsiTheme="minorEastAsia" w:eastAsiaTheme="minorEastAsia"/>
          <w:b/>
          <w:sz w:val="24"/>
        </w:rPr>
        <w:t>14. 试验和检验</w:t>
      </w:r>
      <w:bookmarkEnd w:id="448"/>
      <w:bookmarkEnd w:id="449"/>
    </w:p>
    <w:p>
      <w:pPr>
        <w:spacing w:line="400" w:lineRule="atLeast"/>
        <w:rPr>
          <w:rFonts w:asciiTheme="minorEastAsia" w:hAnsiTheme="minorEastAsia" w:eastAsiaTheme="minorEastAsia"/>
          <w:sz w:val="24"/>
        </w:rPr>
      </w:pPr>
      <w:r>
        <w:rPr>
          <w:rFonts w:hint="eastAsia" w:asciiTheme="minorEastAsia" w:hAnsiTheme="minorEastAsia" w:eastAsiaTheme="minorEastAsia"/>
          <w:sz w:val="24"/>
        </w:rPr>
        <w:t>本条</w:t>
      </w:r>
      <w:r>
        <w:rPr>
          <w:rFonts w:asciiTheme="minorEastAsia" w:hAnsiTheme="minorEastAsia" w:eastAsiaTheme="minorEastAsia"/>
          <w:sz w:val="24"/>
        </w:rPr>
        <w:t>补充第14.4款：</w:t>
      </w:r>
    </w:p>
    <w:p>
      <w:pPr>
        <w:rPr>
          <w:rFonts w:asciiTheme="minorEastAsia" w:hAnsiTheme="minorEastAsia" w:eastAsiaTheme="minorEastAsia"/>
          <w:b/>
          <w:sz w:val="24"/>
        </w:rPr>
      </w:pPr>
      <w:bookmarkStart w:id="450" w:name="_Toc234833178"/>
      <w:bookmarkStart w:id="451" w:name="_Toc9352968"/>
      <w:r>
        <w:rPr>
          <w:rFonts w:asciiTheme="minorEastAsia" w:hAnsiTheme="minorEastAsia" w:eastAsiaTheme="minorEastAsia"/>
          <w:sz w:val="24"/>
        </w:rPr>
        <w:t>14.4 试验和检验费用</w:t>
      </w:r>
      <w:bookmarkEnd w:id="450"/>
      <w:bookmarkEnd w:id="451"/>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（1）承包人应负责提供合同和技术规范规定的试验和检验所需的全部样品，并承担其费用。</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（2）在合同中明确规定的试验和检验，包括无须在工程量清单中单独列项和已在工程量清单中单独列项的试验和检验，其试验和检验的费用由承包人</w:t>
      </w:r>
      <w:r>
        <w:rPr>
          <w:rFonts w:hint="eastAsia" w:asciiTheme="minorEastAsia" w:hAnsiTheme="minorEastAsia" w:eastAsiaTheme="minorEastAsia"/>
          <w:sz w:val="24"/>
        </w:rPr>
        <w:t>承担</w:t>
      </w:r>
      <w:r>
        <w:rPr>
          <w:rFonts w:asciiTheme="minorEastAsia" w:hAnsiTheme="minorEastAsia" w:eastAsiaTheme="minorEastAsia"/>
          <w:sz w:val="24"/>
        </w:rPr>
        <w:t>。</w:t>
      </w:r>
    </w:p>
    <w:p>
      <w:pPr>
        <w:spacing w:line="400" w:lineRule="atLeast"/>
        <w:ind w:firstLine="480" w:firstLineChars="200"/>
        <w:rPr>
          <w:sz w:val="24"/>
        </w:rPr>
      </w:pPr>
      <w:r>
        <w:rPr>
          <w:rFonts w:asciiTheme="minorEastAsia" w:hAnsiTheme="minorEastAsia" w:eastAsiaTheme="minorEastAsia"/>
          <w:sz w:val="24"/>
        </w:rPr>
        <w:t>（3）如果监理人所要求做的试验和检验为合同未规定的或是在该材料或工程设备的制造、加工、制配场地以外的场所进行的，则检验结束后，如表明操作工艺或材料、</w:t>
      </w:r>
      <w:r>
        <w:rPr>
          <w:sz w:val="24"/>
        </w:rPr>
        <w:t>工程设备未能符合合同规定，其费用应由承包人承担，否则，其费用应由发包人承担。</w:t>
      </w:r>
    </w:p>
    <w:p>
      <w:pPr>
        <w:rPr>
          <w:rFonts w:asciiTheme="minorEastAsia" w:hAnsiTheme="minorEastAsia" w:eastAsiaTheme="minorEastAsia"/>
          <w:b/>
          <w:sz w:val="24"/>
        </w:rPr>
      </w:pPr>
      <w:bookmarkStart w:id="452" w:name="_Toc234833179"/>
      <w:bookmarkStart w:id="453" w:name="_Toc9352969"/>
      <w:r>
        <w:rPr>
          <w:rFonts w:asciiTheme="minorEastAsia" w:hAnsiTheme="minorEastAsia" w:eastAsiaTheme="minorEastAsia"/>
          <w:b/>
          <w:sz w:val="24"/>
        </w:rPr>
        <w:t>15. 变更</w:t>
      </w:r>
      <w:bookmarkEnd w:id="452"/>
      <w:bookmarkEnd w:id="453"/>
    </w:p>
    <w:p>
      <w:pPr>
        <w:rPr>
          <w:rFonts w:asciiTheme="minorEastAsia" w:hAnsiTheme="minorEastAsia" w:eastAsiaTheme="minorEastAsia"/>
          <w:b/>
          <w:sz w:val="24"/>
        </w:rPr>
      </w:pPr>
      <w:bookmarkStart w:id="454" w:name="_Toc234833180"/>
      <w:bookmarkStart w:id="455" w:name="_Toc9352970"/>
      <w:r>
        <w:rPr>
          <w:rFonts w:asciiTheme="minorEastAsia" w:hAnsiTheme="minorEastAsia" w:eastAsiaTheme="minorEastAsia"/>
          <w:sz w:val="24"/>
        </w:rPr>
        <w:t>15.1 变更的范围和内容</w:t>
      </w:r>
      <w:bookmarkEnd w:id="454"/>
      <w:bookmarkEnd w:id="455"/>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本款第（1）项细化为：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（1）取消合同中任何一项工作，但被取消的工作不能转由发包人或其他人实施，由于承包人违约造成的情况除外；</w:t>
      </w:r>
    </w:p>
    <w:p>
      <w:pPr>
        <w:rPr>
          <w:rFonts w:asciiTheme="minorEastAsia" w:hAnsiTheme="minorEastAsia" w:eastAsiaTheme="minorEastAsia"/>
          <w:b/>
          <w:sz w:val="24"/>
        </w:rPr>
      </w:pPr>
      <w:bookmarkStart w:id="456" w:name="_Toc9352971"/>
      <w:bookmarkStart w:id="457" w:name="_Toc234833181"/>
      <w:r>
        <w:rPr>
          <w:rFonts w:asciiTheme="minorEastAsia" w:hAnsiTheme="minorEastAsia" w:eastAsiaTheme="minorEastAsia"/>
          <w:sz w:val="24"/>
        </w:rPr>
        <w:t>15.3 变更程序</w:t>
      </w:r>
      <w:bookmarkEnd w:id="456"/>
      <w:bookmarkEnd w:id="457"/>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本款补充第15.3.4项：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15.3.4 设计变更程序应执行《公路工程设计变更管理办法》的相关规定。</w:t>
      </w:r>
    </w:p>
    <w:p>
      <w:pPr>
        <w:rPr>
          <w:rFonts w:asciiTheme="minorEastAsia" w:hAnsiTheme="minorEastAsia" w:eastAsiaTheme="minorEastAsia"/>
          <w:b/>
          <w:sz w:val="24"/>
        </w:rPr>
      </w:pPr>
      <w:bookmarkStart w:id="458" w:name="_Toc234833182"/>
      <w:bookmarkStart w:id="459" w:name="_Toc9352972"/>
      <w:r>
        <w:rPr>
          <w:rFonts w:asciiTheme="minorEastAsia" w:hAnsiTheme="minorEastAsia" w:eastAsiaTheme="minorEastAsia"/>
          <w:sz w:val="24"/>
        </w:rPr>
        <w:t>15.4 变更的估价原则</w:t>
      </w:r>
      <w:bookmarkEnd w:id="458"/>
      <w:bookmarkEnd w:id="459"/>
      <w:r>
        <w:rPr>
          <w:rFonts w:asciiTheme="minorEastAsia" w:hAnsiTheme="minorEastAsia" w:eastAsiaTheme="minorEastAsia"/>
          <w:sz w:val="24"/>
        </w:rPr>
        <w:t xml:space="preserve">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除项目专用合同条款另有约定外，因变更引起的价格调整按照本款约定处理。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15.4.1 如果取消某项工作，则该项工作的总额价不予支付</w:t>
      </w:r>
      <w:r>
        <w:rPr>
          <w:rFonts w:hint="eastAsia" w:asciiTheme="minorEastAsia" w:hAnsiTheme="minorEastAsia" w:eastAsiaTheme="minorEastAsia"/>
          <w:sz w:val="24"/>
        </w:rPr>
        <w:t>。</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15.4.2 已标价工程量清单中有适用于变更工作的子目的，采用该子目的单价。</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15.4.3 已标价工程量清单中无适用于变更工作的子目，但有类似子目的，可在合理范围内参照类似子目的单价，由监理人按第3.5款商定或确定变更工作的单价。</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15.4.4 已标价工程量清单中无适用或类似子目的单价，可在综合考虑承包人在投标时所提供的单价分析表的基础上，由监理人按第3.5款商定或确定变更工作的单价</w:t>
      </w:r>
      <w:r>
        <w:rPr>
          <w:rFonts w:hint="eastAsia" w:asciiTheme="minorEastAsia" w:hAnsiTheme="minorEastAsia" w:eastAsiaTheme="minorEastAsia"/>
          <w:sz w:val="24"/>
        </w:rPr>
        <w:t>。</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15.4.5 如果本工程的变更指示是因承包人过错、承包人违反合同或承包人责任造成的，则这种违约引起的任何额外费用应由承包人承担。</w:t>
      </w:r>
    </w:p>
    <w:p>
      <w:pPr>
        <w:rPr>
          <w:rFonts w:asciiTheme="minorEastAsia" w:hAnsiTheme="minorEastAsia" w:eastAsiaTheme="minorEastAsia"/>
          <w:b/>
          <w:sz w:val="24"/>
        </w:rPr>
      </w:pPr>
      <w:bookmarkStart w:id="460" w:name="_Toc234833183"/>
      <w:bookmarkStart w:id="461" w:name="_Toc9352973"/>
      <w:r>
        <w:rPr>
          <w:rFonts w:asciiTheme="minorEastAsia" w:hAnsiTheme="minorEastAsia" w:eastAsiaTheme="minorEastAsia"/>
          <w:sz w:val="24"/>
        </w:rPr>
        <w:t>15.5 承包人的合理化建议</w:t>
      </w:r>
      <w:bookmarkEnd w:id="460"/>
      <w:bookmarkEnd w:id="461"/>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第15.5.2项约定为：</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承包人提出的合理化建议缩短了工期，发包人按第11.6款的规定给予奖励。</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承包人提出的合理化建议降低了合同价格或者提高了工程经济效益的，发包人按项目专用合同条款数据表中规定的金额给予奖励。</w:t>
      </w:r>
    </w:p>
    <w:p>
      <w:pPr>
        <w:rPr>
          <w:rFonts w:asciiTheme="minorEastAsia" w:hAnsiTheme="minorEastAsia" w:eastAsiaTheme="minorEastAsia"/>
          <w:b/>
          <w:sz w:val="24"/>
        </w:rPr>
      </w:pPr>
      <w:bookmarkStart w:id="462" w:name="_Toc234833184"/>
      <w:bookmarkStart w:id="463" w:name="_Toc9352974"/>
      <w:r>
        <w:rPr>
          <w:rFonts w:asciiTheme="minorEastAsia" w:hAnsiTheme="minorEastAsia" w:eastAsiaTheme="minorEastAsia"/>
          <w:sz w:val="24"/>
        </w:rPr>
        <w:t>15.6暂列金额</w:t>
      </w:r>
      <w:bookmarkEnd w:id="462"/>
      <w:bookmarkEnd w:id="463"/>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本款细化为：</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15.6.1 暂列金额应由监理人报发包人批准后指令全部或部分地使用，或者根本不予动用。</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15.6.2 对于经发包人批准的每一笔暂列金额，监理人有权向承包人发出实施工程或提供材料、工程设备或服务的指令。这些指令应由承包人完成，监理人应根据第15.4款约定的变更估价原则和第15.7款的规定，对合同价格进行相应调整。</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15.6.3 当监理人提出要求时，承包人应提供有关暂列金额支出的所有报价单、发票、凭证和账单或收据，除非该工作是根据已标价工程量清单列明的单价或总额价进行的估价。</w:t>
      </w:r>
    </w:p>
    <w:p>
      <w:pPr>
        <w:rPr>
          <w:rFonts w:asciiTheme="minorEastAsia" w:hAnsiTheme="minorEastAsia" w:eastAsiaTheme="minorEastAsia"/>
          <w:b/>
          <w:sz w:val="24"/>
        </w:rPr>
      </w:pPr>
      <w:bookmarkStart w:id="464" w:name="_Toc234833185"/>
      <w:bookmarkStart w:id="465" w:name="_Toc9352975"/>
      <w:r>
        <w:rPr>
          <w:rFonts w:asciiTheme="minorEastAsia" w:hAnsiTheme="minorEastAsia" w:eastAsiaTheme="minorEastAsia"/>
          <w:b/>
          <w:sz w:val="24"/>
        </w:rPr>
        <w:t>16. 价格调整</w:t>
      </w:r>
      <w:bookmarkEnd w:id="464"/>
      <w:bookmarkEnd w:id="465"/>
    </w:p>
    <w:p>
      <w:pPr>
        <w:rPr>
          <w:rFonts w:asciiTheme="minorEastAsia" w:hAnsiTheme="minorEastAsia" w:eastAsiaTheme="minorEastAsia"/>
          <w:b/>
          <w:sz w:val="24"/>
        </w:rPr>
      </w:pPr>
      <w:bookmarkStart w:id="466" w:name="_Toc234833186"/>
      <w:bookmarkStart w:id="467" w:name="_Toc9352976"/>
      <w:r>
        <w:rPr>
          <w:rFonts w:asciiTheme="minorEastAsia" w:hAnsiTheme="minorEastAsia" w:eastAsiaTheme="minorEastAsia"/>
          <w:sz w:val="24"/>
        </w:rPr>
        <w:t>16.1 物价波动引起的价格调整</w:t>
      </w:r>
      <w:bookmarkEnd w:id="466"/>
      <w:bookmarkEnd w:id="467"/>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本款约定为：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（1）除项目专用合同条款另有约定外，因物价波动引起的价格调整应按项目专用合同条款数据表的规定，按照第16.1.1</w:t>
      </w:r>
      <w:r>
        <w:rPr>
          <w:rFonts w:hint="eastAsia" w:asciiTheme="minorEastAsia" w:hAnsiTheme="minorEastAsia" w:eastAsiaTheme="minorEastAsia"/>
          <w:sz w:val="24"/>
        </w:rPr>
        <w:t>项</w:t>
      </w:r>
      <w:r>
        <w:rPr>
          <w:rFonts w:asciiTheme="minorEastAsia" w:hAnsiTheme="minorEastAsia" w:eastAsiaTheme="minorEastAsia"/>
          <w:sz w:val="24"/>
        </w:rPr>
        <w:t>或第16.1.2项约定的原则处理；或者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在</w:t>
      </w:r>
      <w:r>
        <w:rPr>
          <w:rFonts w:asciiTheme="minorEastAsia" w:hAnsiTheme="minorEastAsia" w:eastAsiaTheme="minorEastAsia"/>
          <w:sz w:val="24"/>
        </w:rPr>
        <w:t>合同执行期间（包括工期拖延期间）</w:t>
      </w:r>
      <w:r>
        <w:rPr>
          <w:rFonts w:hint="eastAsia" w:asciiTheme="minorEastAsia" w:hAnsiTheme="minorEastAsia" w:eastAsiaTheme="minorEastAsia"/>
          <w:sz w:val="24"/>
        </w:rPr>
        <w:t>由于</w:t>
      </w:r>
      <w:r>
        <w:rPr>
          <w:rFonts w:asciiTheme="minorEastAsia" w:hAnsiTheme="minorEastAsia" w:eastAsiaTheme="minorEastAsia"/>
          <w:sz w:val="24"/>
        </w:rPr>
        <w:t>人工、材料和设备价格的上涨而引起工程施工成本增加的风险</w:t>
      </w:r>
      <w:r>
        <w:rPr>
          <w:rFonts w:hint="eastAsia" w:asciiTheme="minorEastAsia" w:hAnsiTheme="minorEastAsia" w:eastAsiaTheme="minorEastAsia"/>
          <w:sz w:val="24"/>
        </w:rPr>
        <w:t>由承包人自行承担</w:t>
      </w:r>
      <w:r>
        <w:rPr>
          <w:rFonts w:asciiTheme="minorEastAsia" w:hAnsiTheme="minorEastAsia" w:eastAsiaTheme="minorEastAsia"/>
          <w:sz w:val="24"/>
        </w:rPr>
        <w:t>，合同价格不会因此而调整。</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16.1.1 采用价格指数调整价格差额</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16.1.1.1 价格调整公式</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价格调整公式后增加备注如下：</w:t>
      </w:r>
    </w:p>
    <w:p>
      <w:pPr>
        <w:spacing w:line="400" w:lineRule="atLeast"/>
        <w:ind w:firstLine="746" w:firstLineChars="311"/>
        <w:rPr>
          <w:rFonts w:asciiTheme="minorEastAsia" w:hAnsiTheme="minorEastAsia" w:eastAsiaTheme="minorEastAsia"/>
          <w:sz w:val="24"/>
        </w:rPr>
      </w:pPr>
      <w:r>
        <w:rPr>
          <w:rFonts w:asciiTheme="minorEastAsia" w:hAnsiTheme="minorEastAsia" w:eastAsiaTheme="minorEastAsia"/>
          <w:bCs/>
          <w:sz w:val="24"/>
        </w:rPr>
        <w:t>式中</w:t>
      </w:r>
      <w:r>
        <w:rPr>
          <w:rFonts w:hint="eastAsia" w:asciiTheme="minorEastAsia" w:hAnsiTheme="minorEastAsia" w:eastAsiaTheme="minorEastAsia"/>
          <w:bCs/>
          <w:sz w:val="24"/>
        </w:rPr>
        <w:t>，</w:t>
      </w:r>
      <w:r>
        <w:rPr>
          <w:rFonts w:asciiTheme="minorEastAsia" w:hAnsiTheme="minorEastAsia" w:eastAsiaTheme="minorEastAsia"/>
          <w:b/>
          <w:bCs/>
          <w:sz w:val="24"/>
        </w:rPr>
        <w:t>A=1</w:t>
      </w:r>
      <w:r>
        <w:rPr>
          <w:rFonts w:hint="eastAsia" w:asciiTheme="minorEastAsia" w:hAnsiTheme="minorEastAsia" w:eastAsiaTheme="minorEastAsia"/>
          <w:b/>
          <w:bCs/>
          <w:sz w:val="24"/>
        </w:rPr>
        <w:t>－</w:t>
      </w:r>
      <w:r>
        <w:rPr>
          <w:rFonts w:asciiTheme="minorEastAsia" w:hAnsiTheme="minorEastAsia" w:eastAsiaTheme="minorEastAsia"/>
          <w:b/>
          <w:bCs/>
          <w:sz w:val="24"/>
        </w:rPr>
        <w:t>（B</w:t>
      </w:r>
      <w:r>
        <w:rPr>
          <w:rFonts w:asciiTheme="minorEastAsia" w:hAnsiTheme="minorEastAsia" w:eastAsiaTheme="minorEastAsia"/>
          <w:b/>
          <w:bCs/>
          <w:sz w:val="24"/>
          <w:vertAlign w:val="subscript"/>
        </w:rPr>
        <w:t>1</w:t>
      </w:r>
      <w:r>
        <w:rPr>
          <w:rFonts w:asciiTheme="minorEastAsia" w:hAnsiTheme="minorEastAsia" w:eastAsiaTheme="minorEastAsia"/>
          <w:b/>
          <w:bCs/>
          <w:sz w:val="24"/>
        </w:rPr>
        <w:t>＋B</w:t>
      </w:r>
      <w:r>
        <w:rPr>
          <w:rFonts w:asciiTheme="minorEastAsia" w:hAnsiTheme="minorEastAsia" w:eastAsiaTheme="minorEastAsia"/>
          <w:b/>
          <w:bCs/>
          <w:sz w:val="24"/>
          <w:vertAlign w:val="subscript"/>
        </w:rPr>
        <w:t>2</w:t>
      </w:r>
      <w:r>
        <w:rPr>
          <w:rFonts w:asciiTheme="minorEastAsia" w:hAnsiTheme="minorEastAsia" w:eastAsiaTheme="minorEastAsia"/>
          <w:b/>
          <w:bCs/>
          <w:sz w:val="24"/>
        </w:rPr>
        <w:t>＋B</w:t>
      </w:r>
      <w:r>
        <w:rPr>
          <w:rFonts w:asciiTheme="minorEastAsia" w:hAnsiTheme="minorEastAsia" w:eastAsiaTheme="minorEastAsia"/>
          <w:b/>
          <w:bCs/>
          <w:sz w:val="24"/>
          <w:vertAlign w:val="subscript"/>
        </w:rPr>
        <w:t>3</w:t>
      </w:r>
      <w:r>
        <w:rPr>
          <w:rFonts w:asciiTheme="minorEastAsia" w:hAnsiTheme="minorEastAsia" w:eastAsiaTheme="minorEastAsia"/>
          <w:b/>
          <w:bCs/>
          <w:sz w:val="24"/>
        </w:rPr>
        <w:t>＋</w:t>
      </w:r>
      <w:r>
        <w:rPr>
          <w:rFonts w:asciiTheme="minorEastAsia" w:hAnsiTheme="minorEastAsia" w:eastAsiaTheme="minorEastAsia"/>
          <w:b/>
          <w:bCs/>
          <w:sz w:val="24"/>
          <w:vertAlign w:val="subscript"/>
        </w:rPr>
        <w:t>……</w:t>
      </w:r>
      <w:r>
        <w:rPr>
          <w:rFonts w:asciiTheme="minorEastAsia" w:hAnsiTheme="minorEastAsia" w:eastAsiaTheme="minorEastAsia"/>
          <w:b/>
          <w:bCs/>
          <w:sz w:val="24"/>
        </w:rPr>
        <w:t>＋B</w:t>
      </w:r>
      <w:r>
        <w:rPr>
          <w:rFonts w:asciiTheme="minorEastAsia" w:hAnsiTheme="minorEastAsia" w:eastAsiaTheme="minorEastAsia"/>
          <w:b/>
          <w:bCs/>
          <w:sz w:val="24"/>
          <w:vertAlign w:val="subscript"/>
        </w:rPr>
        <w:t>n</w:t>
      </w:r>
      <w:r>
        <w:rPr>
          <w:rFonts w:asciiTheme="minorEastAsia" w:hAnsiTheme="minorEastAsia" w:eastAsiaTheme="minorEastAsia"/>
          <w:b/>
          <w:bCs/>
          <w:sz w:val="24"/>
        </w:rPr>
        <w:t>）</w:t>
      </w:r>
      <w:r>
        <w:rPr>
          <w:rFonts w:hint="eastAsia" w:asciiTheme="minorEastAsia" w:hAnsiTheme="minorEastAsia" w:eastAsiaTheme="minorEastAsia"/>
          <w:sz w:val="24"/>
        </w:rPr>
        <w:t>。</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本目最后一段文字细化为：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在采用价格调整公式进行调价时，还应遵守以下规定：</w:t>
      </w:r>
    </w:p>
    <w:p>
      <w:pPr>
        <w:spacing w:line="400" w:lineRule="atLeast"/>
        <w:ind w:firstLine="477" w:firstLineChars="199"/>
        <w:rPr>
          <w:rFonts w:asciiTheme="minorEastAsia" w:hAnsiTheme="minorEastAsia" w:eastAsiaTheme="minorEastAsia"/>
          <w:sz w:val="24"/>
        </w:rPr>
      </w:pPr>
      <w:r>
        <w:rPr>
          <w:rFonts w:asciiTheme="minorEastAsia" w:hAnsiTheme="minorEastAsia" w:eastAsiaTheme="minorEastAsia"/>
          <w:sz w:val="24"/>
        </w:rPr>
        <w:t>（1）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pPr>
        <w:spacing w:line="400" w:lineRule="atLeast"/>
        <w:ind w:firstLine="477" w:firstLineChars="199"/>
        <w:rPr>
          <w:rFonts w:asciiTheme="minorEastAsia" w:hAnsiTheme="minorEastAsia" w:eastAsiaTheme="minorEastAsia"/>
          <w:sz w:val="24"/>
        </w:rPr>
      </w:pPr>
      <w:r>
        <w:rPr>
          <w:rFonts w:asciiTheme="minorEastAsia" w:hAnsiTheme="minorEastAsia" w:eastAsiaTheme="minorEastAsia"/>
          <w:sz w:val="24"/>
        </w:rPr>
        <w:t>（2）价格调整公式中的变值权重，由发包人根据项目实际情况测算确定范围，并在投标函附录价格指数和权重表中约定范围；承包人在投标时在此范围内填写各可调因子的权重，合同实施期间将按此权重进行调价。</w:t>
      </w:r>
    </w:p>
    <w:p>
      <w:pPr>
        <w:rPr>
          <w:rFonts w:asciiTheme="minorEastAsia" w:hAnsiTheme="minorEastAsia" w:eastAsiaTheme="minorEastAsia"/>
          <w:b/>
          <w:sz w:val="24"/>
        </w:rPr>
      </w:pPr>
      <w:bookmarkStart w:id="468" w:name="_Toc9352977"/>
      <w:bookmarkStart w:id="469" w:name="_Toc234833187"/>
      <w:r>
        <w:rPr>
          <w:rFonts w:asciiTheme="minorEastAsia" w:hAnsiTheme="minorEastAsia" w:eastAsiaTheme="minorEastAsia"/>
          <w:b/>
          <w:sz w:val="24"/>
        </w:rPr>
        <w:t>17. 计量与支付</w:t>
      </w:r>
      <w:bookmarkEnd w:id="468"/>
      <w:bookmarkEnd w:id="469"/>
    </w:p>
    <w:p>
      <w:pPr>
        <w:rPr>
          <w:rFonts w:asciiTheme="minorEastAsia" w:hAnsiTheme="minorEastAsia" w:eastAsiaTheme="minorEastAsia"/>
          <w:b/>
          <w:sz w:val="24"/>
        </w:rPr>
      </w:pPr>
      <w:bookmarkStart w:id="470" w:name="_Toc9352978"/>
      <w:bookmarkStart w:id="471" w:name="_Toc234833188"/>
      <w:r>
        <w:rPr>
          <w:rFonts w:asciiTheme="minorEastAsia" w:hAnsiTheme="minorEastAsia" w:eastAsiaTheme="minorEastAsia"/>
          <w:sz w:val="24"/>
        </w:rPr>
        <w:t>17.1 计量</w:t>
      </w:r>
      <w:bookmarkEnd w:id="470"/>
      <w:bookmarkEnd w:id="471"/>
      <w:r>
        <w:rPr>
          <w:rFonts w:asciiTheme="minorEastAsia" w:hAnsiTheme="minorEastAsia" w:eastAsiaTheme="minorEastAsia"/>
          <w:sz w:val="24"/>
        </w:rPr>
        <w:t xml:space="preserve"> </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17.1.2 计量方法</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本项约定为：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工程的计量应以净值为准，除非项目专用合同条款另有约定。工程量清单中各个子目的具体计量方法按本合同文件</w:t>
      </w:r>
      <w:r>
        <w:rPr>
          <w:rFonts w:hint="eastAsia" w:asciiTheme="minorEastAsia" w:hAnsiTheme="minorEastAsia" w:eastAsiaTheme="minorEastAsia"/>
          <w:sz w:val="24"/>
        </w:rPr>
        <w:t>工程量清单计量规则</w:t>
      </w:r>
      <w:r>
        <w:rPr>
          <w:rFonts w:asciiTheme="minorEastAsia" w:hAnsiTheme="minorEastAsia" w:eastAsiaTheme="minorEastAsia"/>
          <w:sz w:val="24"/>
        </w:rPr>
        <w:t>中的规定执行。</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17.1.4 单价子目的计量</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（7）承包人未在已标价工程量清单中填入单价或总额价的工程子目，将被认为其已包含在本合同的其他子目的单价和总额价中，发包人将不另行支付。</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17.1.5 总价子目的计量</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本项补充：</w:t>
      </w:r>
    </w:p>
    <w:p>
      <w:pPr>
        <w:spacing w:line="400" w:lineRule="atLeast"/>
        <w:ind w:firstLine="470" w:firstLineChars="196"/>
        <w:rPr>
          <w:rFonts w:asciiTheme="minorEastAsia" w:hAnsiTheme="minorEastAsia" w:eastAsiaTheme="minorEastAsia"/>
          <w:sz w:val="24"/>
        </w:rPr>
      </w:pPr>
      <w:r>
        <w:rPr>
          <w:rFonts w:hint="eastAsia" w:asciiTheme="minorEastAsia" w:hAnsiTheme="minorEastAsia" w:eastAsiaTheme="minorEastAsia"/>
          <w:sz w:val="24"/>
        </w:rPr>
        <w:t>本</w:t>
      </w:r>
      <w:r>
        <w:rPr>
          <w:rFonts w:asciiTheme="minorEastAsia" w:hAnsiTheme="minorEastAsia" w:eastAsiaTheme="minorEastAsia"/>
          <w:sz w:val="24"/>
        </w:rPr>
        <w:t>项目工程量清单中</w:t>
      </w:r>
      <w:r>
        <w:rPr>
          <w:rFonts w:hint="eastAsia" w:asciiTheme="minorEastAsia" w:hAnsiTheme="minorEastAsia" w:eastAsiaTheme="minorEastAsia"/>
          <w:sz w:val="24"/>
        </w:rPr>
        <w:t>要求</w:t>
      </w:r>
      <w:r>
        <w:rPr>
          <w:rFonts w:asciiTheme="minorEastAsia" w:hAnsiTheme="minorEastAsia" w:eastAsiaTheme="minorEastAsia"/>
          <w:sz w:val="24"/>
        </w:rPr>
        <w:t>承包人以</w:t>
      </w:r>
      <w:r>
        <w:rPr>
          <w:rFonts w:hint="eastAsia" w:asciiTheme="minorEastAsia" w:hAnsiTheme="minorEastAsia" w:eastAsiaTheme="minorEastAsia"/>
          <w:sz w:val="24"/>
        </w:rPr>
        <w:t>“总额”方式报价的子目，各子目的支付原则和支付进度按项目专用合同条款的规定执行。</w:t>
      </w:r>
    </w:p>
    <w:p>
      <w:pPr>
        <w:rPr>
          <w:rFonts w:asciiTheme="minorEastAsia" w:hAnsiTheme="minorEastAsia" w:eastAsiaTheme="minorEastAsia"/>
          <w:b/>
          <w:sz w:val="24"/>
        </w:rPr>
      </w:pPr>
      <w:bookmarkStart w:id="472" w:name="_Toc234833189"/>
      <w:bookmarkStart w:id="473" w:name="_Toc9352979"/>
      <w:r>
        <w:rPr>
          <w:rFonts w:asciiTheme="minorEastAsia" w:hAnsiTheme="minorEastAsia" w:eastAsiaTheme="minorEastAsia"/>
          <w:sz w:val="24"/>
        </w:rPr>
        <w:t>17.2 预付款</w:t>
      </w:r>
      <w:bookmarkEnd w:id="472"/>
      <w:bookmarkEnd w:id="473"/>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17.2.1预付款</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本项约定为：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预付款包括开工预付款和材料、设备预付款。具体额度和预付办法如下：</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（1）开工预付款的金额在项目专用合同条款数据表中约定。在承包人签订了合同协议书</w:t>
      </w:r>
      <w:r>
        <w:rPr>
          <w:rFonts w:hint="eastAsia" w:asciiTheme="minorEastAsia" w:hAnsiTheme="minorEastAsia" w:eastAsiaTheme="minorEastAsia"/>
          <w:sz w:val="24"/>
        </w:rPr>
        <w:t>且</w:t>
      </w:r>
      <w:r>
        <w:rPr>
          <w:rFonts w:asciiTheme="minorEastAsia" w:hAnsiTheme="minorEastAsia" w:eastAsiaTheme="minorEastAsia"/>
          <w:sz w:val="24"/>
        </w:rPr>
        <w:t>承包人承诺的主要设备进场后，监理人应在当期进度付款证书中向承包人支付开工预付款。</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承包人不得将该预付款用于与本工程无关的支出，监理人有权监督承包人对该项费用的使用，如经查实承包人滥用开工预付款，发包人有权立即向银行</w:t>
      </w:r>
      <w:r>
        <w:rPr>
          <w:rFonts w:hint="eastAsia" w:asciiTheme="minorEastAsia" w:hAnsiTheme="minorEastAsia" w:eastAsiaTheme="minorEastAsia"/>
          <w:sz w:val="24"/>
        </w:rPr>
        <w:t>索赔履约保证金</w:t>
      </w:r>
      <w:r>
        <w:rPr>
          <w:rFonts w:asciiTheme="minorEastAsia" w:hAnsiTheme="minorEastAsia" w:eastAsiaTheme="minorEastAsia"/>
          <w:sz w:val="24"/>
        </w:rPr>
        <w:t>，并</w:t>
      </w:r>
      <w:r>
        <w:rPr>
          <w:rFonts w:hint="eastAsia" w:asciiTheme="minorEastAsia" w:hAnsiTheme="minorEastAsia" w:eastAsiaTheme="minorEastAsia"/>
          <w:sz w:val="24"/>
        </w:rPr>
        <w:t>解除</w:t>
      </w:r>
      <w:r>
        <w:rPr>
          <w:rFonts w:asciiTheme="minorEastAsia" w:hAnsiTheme="minorEastAsia" w:eastAsiaTheme="minorEastAsia"/>
          <w:sz w:val="24"/>
        </w:rPr>
        <w:t>合同。</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（2）材料、设备预付款按项目专用合同条款数据表中所列主要材料、设备单据费用（进口的材料、设备为到岸价，国内采购的为出厂价或销售价，地方材料为堆场价）的百分比支付。其预付条件为：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a. 材料、设备符合规范要求并经监理人认可；</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b. 承包人已出具材料、设备费用凭证或支付单据；</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c. 材料、设备已在现场交货，且存储良好，监理人认为材料、设备的存储方法符合要求。</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则监理人应将此项金额作为材料、设备预付款计入下一次的进度付款证书中。在预计交工前3个月，将不再支付材料、设备预付款。</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17.2.2 预付款保函</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本项细化为：</w:t>
      </w:r>
    </w:p>
    <w:p>
      <w:pPr>
        <w:spacing w:line="400" w:lineRule="atLeast"/>
        <w:ind w:firstLine="480" w:firstLineChars="200"/>
        <w:rPr>
          <w:rFonts w:asciiTheme="minorEastAsia" w:hAnsiTheme="minorEastAsia" w:eastAsiaTheme="minorEastAsia"/>
          <w:sz w:val="24"/>
          <w:u w:val="single"/>
        </w:rPr>
      </w:pPr>
      <w:r>
        <w:rPr>
          <w:rFonts w:asciiTheme="minorEastAsia" w:hAnsiTheme="minorEastAsia" w:eastAsiaTheme="minorEastAsia"/>
          <w:sz w:val="24"/>
        </w:rPr>
        <w:t>承包人无须向发包人提交预付款保函</w:t>
      </w:r>
      <w:r>
        <w:rPr>
          <w:rFonts w:hint="eastAsia" w:asciiTheme="minorEastAsia" w:hAnsiTheme="minorEastAsia" w:eastAsiaTheme="minorEastAsia"/>
          <w:sz w:val="24"/>
        </w:rPr>
        <w:t>。发包人向</w:t>
      </w:r>
      <w:r>
        <w:rPr>
          <w:rFonts w:asciiTheme="minorEastAsia" w:hAnsiTheme="minorEastAsia" w:eastAsiaTheme="minorEastAsia"/>
          <w:sz w:val="24"/>
        </w:rPr>
        <w:t>承包人支付的预付款</w:t>
      </w:r>
      <w:r>
        <w:rPr>
          <w:rFonts w:hint="eastAsia" w:asciiTheme="minorEastAsia" w:hAnsiTheme="minorEastAsia" w:eastAsiaTheme="minorEastAsia"/>
          <w:sz w:val="24"/>
        </w:rPr>
        <w:t>，</w:t>
      </w:r>
      <w:r>
        <w:rPr>
          <w:rFonts w:asciiTheme="minorEastAsia" w:hAnsiTheme="minorEastAsia" w:eastAsiaTheme="minorEastAsia"/>
          <w:sz w:val="24"/>
        </w:rPr>
        <w:t>应按照本合同第</w:t>
      </w:r>
      <w:r>
        <w:rPr>
          <w:rFonts w:hint="eastAsia" w:asciiTheme="minorEastAsia" w:hAnsiTheme="minorEastAsia" w:eastAsiaTheme="minorEastAsia"/>
          <w:sz w:val="24"/>
        </w:rPr>
        <w:t>17.2.1项规定使用，承包人</w:t>
      </w:r>
      <w:r>
        <w:rPr>
          <w:rFonts w:asciiTheme="minorEastAsia" w:hAnsiTheme="minorEastAsia" w:eastAsiaTheme="minorEastAsia"/>
          <w:sz w:val="24"/>
        </w:rPr>
        <w:t>提交的履约保证金对预付款的正常使用</w:t>
      </w:r>
      <w:r>
        <w:rPr>
          <w:rFonts w:hint="eastAsia" w:asciiTheme="minorEastAsia" w:hAnsiTheme="minorEastAsia" w:eastAsiaTheme="minorEastAsia"/>
          <w:sz w:val="24"/>
        </w:rPr>
        <w:t>承担</w:t>
      </w:r>
      <w:r>
        <w:rPr>
          <w:rFonts w:asciiTheme="minorEastAsia" w:hAnsiTheme="minorEastAsia" w:eastAsiaTheme="minorEastAsia"/>
          <w:sz w:val="24"/>
        </w:rPr>
        <w:t>保证责任</w:t>
      </w:r>
      <w:r>
        <w:rPr>
          <w:rFonts w:hint="eastAsia" w:asciiTheme="minorEastAsia" w:hAnsiTheme="minorEastAsia" w:eastAsiaTheme="minorEastAsia"/>
          <w:sz w:val="24"/>
        </w:rPr>
        <w:t>。</w:t>
      </w:r>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17.2.</w:t>
      </w:r>
      <w:r>
        <w:rPr>
          <w:rFonts w:hint="eastAsia" w:asciiTheme="minorEastAsia" w:hAnsiTheme="minorEastAsia" w:eastAsiaTheme="minorEastAsia"/>
          <w:sz w:val="24"/>
        </w:rPr>
        <w:t>3</w:t>
      </w:r>
      <w:r>
        <w:rPr>
          <w:rFonts w:asciiTheme="minorEastAsia" w:hAnsiTheme="minorEastAsia" w:eastAsiaTheme="minorEastAsia"/>
          <w:sz w:val="24"/>
        </w:rPr>
        <w:t xml:space="preserve"> 预付款的扣回与还清</w:t>
      </w:r>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本项约定为：</w:t>
      </w:r>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（1）开工预付款在进度付款证书的累计金额未达到</w:t>
      </w:r>
      <w:r>
        <w:rPr>
          <w:rFonts w:hint="eastAsia" w:asciiTheme="minorEastAsia" w:hAnsiTheme="minorEastAsia" w:eastAsiaTheme="minorEastAsia"/>
          <w:sz w:val="24"/>
        </w:rPr>
        <w:t>签约合同价</w:t>
      </w:r>
      <w:r>
        <w:rPr>
          <w:rFonts w:asciiTheme="minorEastAsia" w:hAnsiTheme="minorEastAsia" w:eastAsiaTheme="minorEastAsia"/>
          <w:sz w:val="24"/>
        </w:rPr>
        <w:t>的30%之前不予扣回，在达到</w:t>
      </w:r>
      <w:r>
        <w:rPr>
          <w:rFonts w:hint="eastAsia" w:asciiTheme="minorEastAsia" w:hAnsiTheme="minorEastAsia" w:eastAsiaTheme="minorEastAsia"/>
          <w:sz w:val="24"/>
        </w:rPr>
        <w:t>签约合同价</w:t>
      </w:r>
      <w:r>
        <w:rPr>
          <w:rFonts w:asciiTheme="minorEastAsia" w:hAnsiTheme="minorEastAsia" w:eastAsiaTheme="minorEastAsia"/>
          <w:sz w:val="24"/>
        </w:rPr>
        <w:t>30%之后，开始按工程进度以固定比例（即每完成</w:t>
      </w:r>
      <w:r>
        <w:rPr>
          <w:rFonts w:hint="eastAsia" w:asciiTheme="minorEastAsia" w:hAnsiTheme="minorEastAsia" w:eastAsiaTheme="minorEastAsia"/>
          <w:sz w:val="24"/>
        </w:rPr>
        <w:t>签约合同价</w:t>
      </w:r>
      <w:r>
        <w:rPr>
          <w:rFonts w:asciiTheme="minorEastAsia" w:hAnsiTheme="minorEastAsia" w:eastAsiaTheme="minorEastAsia"/>
          <w:sz w:val="24"/>
        </w:rPr>
        <w:t>的1%，扣回开工预付款的2%）分期从各月的进度付款证书中扣回，全部金额在进度付款证书的累计金额达到</w:t>
      </w:r>
      <w:r>
        <w:rPr>
          <w:rFonts w:hint="eastAsia" w:asciiTheme="minorEastAsia" w:hAnsiTheme="minorEastAsia" w:eastAsiaTheme="minorEastAsia"/>
          <w:sz w:val="24"/>
        </w:rPr>
        <w:t>签约合同价</w:t>
      </w:r>
      <w:r>
        <w:rPr>
          <w:rFonts w:asciiTheme="minorEastAsia" w:hAnsiTheme="minorEastAsia" w:eastAsiaTheme="minorEastAsia"/>
          <w:sz w:val="24"/>
        </w:rPr>
        <w:t>的80%时扣完。</w:t>
      </w:r>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（2）当材料、设备已用于或安装在永久工程之中时，材料、设备预付款应从进度付款证书中扣回，扣回期不超过3个月。已经支付材料、设备预付款的材料、设备的所有权应属于发包人。</w:t>
      </w:r>
    </w:p>
    <w:p>
      <w:pPr>
        <w:rPr>
          <w:rFonts w:asciiTheme="minorEastAsia" w:hAnsiTheme="minorEastAsia" w:eastAsiaTheme="minorEastAsia"/>
          <w:b/>
          <w:sz w:val="24"/>
        </w:rPr>
      </w:pPr>
      <w:bookmarkStart w:id="474" w:name="_Toc9352980"/>
      <w:bookmarkStart w:id="475" w:name="_Toc234833190"/>
      <w:r>
        <w:rPr>
          <w:rFonts w:asciiTheme="minorEastAsia" w:hAnsiTheme="minorEastAsia" w:eastAsiaTheme="minorEastAsia"/>
          <w:sz w:val="24"/>
        </w:rPr>
        <w:t>17.3 工程进度付款</w:t>
      </w:r>
      <w:bookmarkEnd w:id="474"/>
      <w:bookmarkEnd w:id="475"/>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17.3.3 进度付款证书和支付时间</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本项（1）目补充：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本项（2）目</w:t>
      </w:r>
      <w:r>
        <w:rPr>
          <w:rFonts w:hint="eastAsia" w:asciiTheme="minorEastAsia" w:hAnsiTheme="minorEastAsia" w:eastAsiaTheme="minorEastAsia"/>
          <w:sz w:val="24"/>
        </w:rPr>
        <w:t>细化</w:t>
      </w:r>
      <w:r>
        <w:rPr>
          <w:rFonts w:asciiTheme="minorEastAsia" w:hAnsiTheme="minorEastAsia" w:eastAsiaTheme="minorEastAsia"/>
          <w:sz w:val="24"/>
        </w:rPr>
        <w:t>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发包人应在监理人收到进度付款申请单</w:t>
      </w:r>
      <w:r>
        <w:rPr>
          <w:rFonts w:hint="eastAsia" w:asciiTheme="minorEastAsia" w:hAnsiTheme="minorEastAsia" w:eastAsiaTheme="minorEastAsia"/>
          <w:sz w:val="24"/>
        </w:rPr>
        <w:t>且承包人提交了合格的增值税专用发票后</w:t>
      </w:r>
      <w:r>
        <w:rPr>
          <w:rFonts w:asciiTheme="minorEastAsia" w:hAnsiTheme="minorEastAsia" w:eastAsiaTheme="minorEastAsia"/>
          <w:sz w:val="24"/>
        </w:rPr>
        <w:t>的28天内，将进度应付款支付给承包人。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发包人不按期支付的，按项目专用合同条款数据表中约定的利率向承包人支付逾期付款违约金。违约金计算基数为发包人的全部未付款额，时间从应付而未付该款额之日算起（不计复利）。</w:t>
      </w:r>
    </w:p>
    <w:p>
      <w:pPr>
        <w:widowControl/>
        <w:spacing w:line="42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本款补充第17.3.5项：</w:t>
      </w:r>
    </w:p>
    <w:p>
      <w:pPr>
        <w:spacing w:line="420" w:lineRule="atLeast"/>
        <w:ind w:firstLine="470" w:firstLineChars="196"/>
        <w:rPr>
          <w:rFonts w:asciiTheme="minorEastAsia" w:hAnsiTheme="minorEastAsia" w:eastAsiaTheme="minorEastAsia"/>
          <w:color w:val="FF0000"/>
          <w:sz w:val="24"/>
        </w:rPr>
      </w:pPr>
      <w:r>
        <w:rPr>
          <w:rFonts w:hint="eastAsia" w:asciiTheme="minorEastAsia" w:hAnsiTheme="minorEastAsia" w:eastAsiaTheme="minorEastAsia"/>
          <w:color w:val="FF0000"/>
          <w:sz w:val="24"/>
        </w:rPr>
        <w:t>17.3.5 农民工工资保证金</w:t>
      </w:r>
    </w:p>
    <w:p>
      <w:pPr>
        <w:widowControl/>
        <w:spacing w:line="420" w:lineRule="atLeast"/>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（1）</w:t>
      </w:r>
      <w:r>
        <w:rPr>
          <w:rFonts w:asciiTheme="minorEastAsia" w:hAnsiTheme="minorEastAsia" w:eastAsiaTheme="minorEastAsia"/>
          <w:color w:val="FF0000"/>
          <w:sz w:val="24"/>
        </w:rPr>
        <w:t>为确保施工过程中</w:t>
      </w:r>
      <w:r>
        <w:rPr>
          <w:rFonts w:hint="eastAsia" w:asciiTheme="minorEastAsia" w:hAnsiTheme="minorEastAsia" w:eastAsiaTheme="minorEastAsia"/>
          <w:color w:val="FF0000"/>
          <w:sz w:val="24"/>
        </w:rPr>
        <w:t>农</w:t>
      </w:r>
      <w:r>
        <w:rPr>
          <w:rFonts w:asciiTheme="minorEastAsia" w:hAnsiTheme="minorEastAsia" w:eastAsiaTheme="minorEastAsia"/>
          <w:color w:val="FF0000"/>
          <w:sz w:val="24"/>
        </w:rPr>
        <w:t>民工工资实时、足额发放到位，</w:t>
      </w:r>
      <w:r>
        <w:rPr>
          <w:rFonts w:hint="eastAsia" w:asciiTheme="minorEastAsia" w:hAnsiTheme="minorEastAsia" w:eastAsiaTheme="minorEastAsia"/>
          <w:color w:val="FF0000"/>
          <w:sz w:val="24"/>
        </w:rPr>
        <w:t>承包人应按照项目专用合同条款约定的时间和金额缴存农民工工资保证金。</w:t>
      </w:r>
    </w:p>
    <w:p>
      <w:pPr>
        <w:widowControl/>
        <w:spacing w:line="420" w:lineRule="atLeast"/>
        <w:ind w:firstLine="480" w:firstLineChars="200"/>
        <w:rPr>
          <w:rFonts w:asciiTheme="minorEastAsia" w:hAnsiTheme="minorEastAsia" w:eastAsiaTheme="minorEastAsia"/>
          <w:color w:val="FF0000"/>
          <w:sz w:val="24"/>
        </w:rPr>
      </w:pPr>
      <w:r>
        <w:rPr>
          <w:rFonts w:asciiTheme="minorEastAsia" w:hAnsiTheme="minorEastAsia" w:eastAsiaTheme="minorEastAsia"/>
          <w:color w:val="FF0000"/>
          <w:sz w:val="24"/>
        </w:rPr>
        <w:t>（2）</w:t>
      </w:r>
      <w:r>
        <w:rPr>
          <w:rFonts w:hint="eastAsia" w:asciiTheme="minorEastAsia" w:hAnsiTheme="minorEastAsia" w:eastAsiaTheme="minorEastAsia"/>
          <w:color w:val="FF0000"/>
          <w:sz w:val="24"/>
        </w:rPr>
        <w:t>农民工工资保证金可采用银行保函或现金、支票形式。采用银行保函时，</w:t>
      </w:r>
      <w:r>
        <w:rPr>
          <w:rFonts w:asciiTheme="minorEastAsia" w:hAnsiTheme="minorEastAsia" w:eastAsiaTheme="minorEastAsia"/>
          <w:color w:val="FF0000"/>
          <w:sz w:val="24"/>
        </w:rPr>
        <w:t>出具保函的银行须</w:t>
      </w:r>
      <w:r>
        <w:rPr>
          <w:rFonts w:hint="eastAsia" w:asciiTheme="minorEastAsia" w:hAnsiTheme="minorEastAsia" w:eastAsiaTheme="minorEastAsia"/>
          <w:color w:val="FF0000"/>
          <w:sz w:val="24"/>
        </w:rPr>
        <w:t>具有相应担保能力</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且按照发包人批准的格式出具，</w:t>
      </w:r>
      <w:r>
        <w:rPr>
          <w:rFonts w:asciiTheme="minorEastAsia" w:hAnsiTheme="minorEastAsia" w:eastAsiaTheme="minorEastAsia"/>
          <w:color w:val="FF0000"/>
          <w:sz w:val="24"/>
        </w:rPr>
        <w:t>所需费用由承包人承担。</w:t>
      </w:r>
    </w:p>
    <w:p>
      <w:pPr>
        <w:widowControl/>
        <w:spacing w:line="420" w:lineRule="atLeast"/>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（3）</w:t>
      </w:r>
      <w:r>
        <w:rPr>
          <w:rFonts w:asciiTheme="minorEastAsia" w:hAnsiTheme="minorEastAsia" w:eastAsiaTheme="minorEastAsia"/>
          <w:color w:val="FF0000"/>
          <w:sz w:val="24"/>
        </w:rPr>
        <w:t>农民工工资保证金的</w:t>
      </w:r>
      <w:r>
        <w:rPr>
          <w:rFonts w:hint="eastAsia" w:asciiTheme="minorEastAsia" w:hAnsiTheme="minorEastAsia" w:eastAsiaTheme="minorEastAsia"/>
          <w:color w:val="FF0000"/>
          <w:sz w:val="24"/>
        </w:rPr>
        <w:t>扣留条件、返还时间按照项目专用合同条款的约定执行。</w:t>
      </w:r>
    </w:p>
    <w:p>
      <w:pPr>
        <w:rPr>
          <w:rFonts w:asciiTheme="minorEastAsia" w:hAnsiTheme="minorEastAsia" w:eastAsiaTheme="minorEastAsia"/>
          <w:b/>
          <w:sz w:val="24"/>
        </w:rPr>
      </w:pPr>
      <w:bookmarkStart w:id="476" w:name="_Toc234833191"/>
      <w:bookmarkStart w:id="477" w:name="_Toc9352981"/>
      <w:r>
        <w:rPr>
          <w:rFonts w:asciiTheme="minorEastAsia" w:hAnsiTheme="minorEastAsia" w:eastAsiaTheme="minorEastAsia"/>
          <w:sz w:val="24"/>
        </w:rPr>
        <w:t>17.4 质量保证金</w:t>
      </w:r>
      <w:bookmarkEnd w:id="476"/>
      <w:bookmarkEnd w:id="477"/>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第17.4.1项</w:t>
      </w:r>
      <w:r>
        <w:rPr>
          <w:rFonts w:hint="eastAsia" w:asciiTheme="minorEastAsia" w:hAnsiTheme="minorEastAsia" w:eastAsiaTheme="minorEastAsia"/>
          <w:sz w:val="24"/>
        </w:rPr>
        <w:t>、第17.4.2</w:t>
      </w:r>
      <w:r>
        <w:rPr>
          <w:rFonts w:asciiTheme="minorEastAsia" w:hAnsiTheme="minorEastAsia" w:eastAsiaTheme="minorEastAsia"/>
          <w:sz w:val="24"/>
        </w:rPr>
        <w:t>项细化为：</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17.4.1 </w:t>
      </w:r>
      <w:r>
        <w:rPr>
          <w:rFonts w:hint="eastAsia" w:asciiTheme="minorEastAsia" w:hAnsiTheme="minorEastAsia" w:eastAsiaTheme="minorEastAsia"/>
          <w:color w:val="FF0000"/>
          <w:sz w:val="24"/>
        </w:rPr>
        <w:t>交工验收证书签发后14天内，承包人应向发包人缴纳质量保证金。</w:t>
      </w:r>
      <w:r>
        <w:rPr>
          <w:rFonts w:hint="eastAsia" w:asciiTheme="minorEastAsia" w:hAnsiTheme="minorEastAsia" w:eastAsiaTheme="minorEastAsia"/>
          <w:sz w:val="24"/>
        </w:rPr>
        <w:t>质量保证金可采用银行保函或现金、支票形式，金额应符合</w:t>
      </w:r>
      <w:r>
        <w:rPr>
          <w:rFonts w:asciiTheme="minorEastAsia" w:hAnsiTheme="minorEastAsia" w:eastAsiaTheme="minorEastAsia"/>
          <w:sz w:val="24"/>
        </w:rPr>
        <w:t>项目专用合同条款数据表</w:t>
      </w:r>
      <w:r>
        <w:rPr>
          <w:rFonts w:hint="eastAsia" w:asciiTheme="minorEastAsia" w:hAnsiTheme="minorEastAsia" w:eastAsiaTheme="minorEastAsia"/>
          <w:sz w:val="24"/>
        </w:rPr>
        <w:t>的</w:t>
      </w:r>
      <w:r>
        <w:rPr>
          <w:rFonts w:asciiTheme="minorEastAsia" w:hAnsiTheme="minorEastAsia" w:eastAsiaTheme="minorEastAsia"/>
          <w:sz w:val="24"/>
        </w:rPr>
        <w:t>规定</w:t>
      </w:r>
      <w:r>
        <w:rPr>
          <w:rFonts w:hint="eastAsia" w:asciiTheme="minorEastAsia" w:hAnsiTheme="minorEastAsia" w:eastAsiaTheme="minorEastAsia"/>
          <w:sz w:val="24"/>
        </w:rPr>
        <w:t>。采用银行保函时，</w:t>
      </w:r>
      <w:r>
        <w:rPr>
          <w:rFonts w:asciiTheme="minorEastAsia" w:hAnsiTheme="minorEastAsia" w:eastAsiaTheme="minorEastAsia"/>
          <w:sz w:val="24"/>
        </w:rPr>
        <w:t>出具保函的银行须</w:t>
      </w:r>
      <w:r>
        <w:rPr>
          <w:rFonts w:hint="eastAsia" w:asciiTheme="minorEastAsia" w:hAnsiTheme="minorEastAsia" w:eastAsiaTheme="minorEastAsia"/>
          <w:sz w:val="24"/>
        </w:rPr>
        <w:t>具有相应担保能力</w:t>
      </w:r>
      <w:r>
        <w:rPr>
          <w:rFonts w:asciiTheme="minorEastAsia" w:hAnsiTheme="minorEastAsia" w:eastAsiaTheme="minorEastAsia"/>
          <w:sz w:val="24"/>
        </w:rPr>
        <w:t>，</w:t>
      </w:r>
      <w:r>
        <w:rPr>
          <w:rFonts w:hint="eastAsia" w:asciiTheme="minorEastAsia" w:hAnsiTheme="minorEastAsia" w:eastAsiaTheme="minorEastAsia"/>
          <w:sz w:val="24"/>
        </w:rPr>
        <w:t>且按照发包人批准的格式出具，</w:t>
      </w:r>
      <w:r>
        <w:rPr>
          <w:rFonts w:asciiTheme="minorEastAsia" w:hAnsiTheme="minorEastAsia" w:eastAsiaTheme="minorEastAsia"/>
          <w:sz w:val="24"/>
        </w:rPr>
        <w:t>所需费用由承包人承担。</w:t>
      </w:r>
    </w:p>
    <w:p>
      <w:pPr>
        <w:spacing w:line="400" w:lineRule="atLeast"/>
        <w:ind w:firstLine="480" w:firstLineChars="200"/>
        <w:rPr>
          <w:rFonts w:cs="宋体" w:asciiTheme="minorEastAsia" w:hAnsiTheme="minorEastAsia" w:eastAsiaTheme="minorEastAsia"/>
          <w:kern w:val="0"/>
          <w:sz w:val="24"/>
        </w:rPr>
      </w:pPr>
      <w:r>
        <w:rPr>
          <w:rFonts w:hint="eastAsia" w:asciiTheme="minorEastAsia" w:hAnsiTheme="minorEastAsia" w:eastAsiaTheme="minorEastAsia"/>
          <w:sz w:val="24"/>
        </w:rPr>
        <w:t>质量保证金采用现金、支票形式提交的，发包人应在项目专用合同条款数据表中明确是否</w:t>
      </w:r>
      <w:r>
        <w:rPr>
          <w:rFonts w:hint="eastAsia" w:cs="宋体" w:asciiTheme="minorEastAsia" w:hAnsiTheme="minorEastAsia" w:eastAsiaTheme="minorEastAsia"/>
          <w:kern w:val="0"/>
          <w:sz w:val="24"/>
        </w:rPr>
        <w:t>计付利息以及利息的计算方式。</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17.4.2 </w:t>
      </w:r>
      <w:r>
        <w:rPr>
          <w:rFonts w:asciiTheme="minorEastAsia" w:hAnsiTheme="minorEastAsia" w:eastAsiaTheme="minorEastAsia"/>
          <w:sz w:val="24"/>
        </w:rPr>
        <w:t>在第1.1.4.5目约定的缺陷责任期满，且质量监督机构已按规定对工程质量检测鉴定合格</w:t>
      </w:r>
      <w:r>
        <w:rPr>
          <w:rFonts w:hint="eastAsia" w:asciiTheme="minorEastAsia" w:hAnsiTheme="minorEastAsia" w:eastAsiaTheme="minorEastAsia"/>
          <w:sz w:val="24"/>
        </w:rPr>
        <w:t>，</w:t>
      </w:r>
      <w:r>
        <w:rPr>
          <w:rFonts w:asciiTheme="minorEastAsia" w:hAnsiTheme="minorEastAsia" w:eastAsiaTheme="minorEastAsia"/>
          <w:sz w:val="24"/>
        </w:rPr>
        <w:t>承包人向发包人申请到期应返还承包人剩余的质量保证金金额，发包人应在14天内会同承包人按照合同约定的内容核实承包人是否完成缺陷责任。如无异议，发包人应当在核实后将剩余保证金返还承包人。</w:t>
      </w:r>
    </w:p>
    <w:p>
      <w:pPr>
        <w:rPr>
          <w:rFonts w:asciiTheme="minorEastAsia" w:hAnsiTheme="minorEastAsia" w:eastAsiaTheme="minorEastAsia"/>
          <w:b/>
          <w:sz w:val="24"/>
        </w:rPr>
      </w:pPr>
      <w:bookmarkStart w:id="478" w:name="_Toc9352982"/>
      <w:bookmarkStart w:id="479" w:name="_Toc234833192"/>
      <w:r>
        <w:rPr>
          <w:rFonts w:asciiTheme="minorEastAsia" w:hAnsiTheme="minorEastAsia" w:eastAsiaTheme="minorEastAsia"/>
          <w:sz w:val="24"/>
        </w:rPr>
        <w:t>17.5 交工结算</w:t>
      </w:r>
      <w:bookmarkEnd w:id="478"/>
      <w:bookmarkEnd w:id="479"/>
    </w:p>
    <w:p>
      <w:pPr>
        <w:spacing w:line="400" w:lineRule="atLeast"/>
        <w:ind w:firstLine="470" w:firstLineChars="196"/>
        <w:rPr>
          <w:rFonts w:asciiTheme="minorEastAsia" w:hAnsiTheme="minorEastAsia" w:eastAsiaTheme="minorEastAsia"/>
          <w:color w:val="FF0000"/>
          <w:sz w:val="24"/>
        </w:rPr>
      </w:pPr>
      <w:r>
        <w:rPr>
          <w:rFonts w:asciiTheme="minorEastAsia" w:hAnsiTheme="minorEastAsia" w:eastAsiaTheme="minorEastAsia"/>
          <w:sz w:val="24"/>
        </w:rPr>
        <w:t xml:space="preserve">17.5.1 </w:t>
      </w:r>
      <w:r>
        <w:rPr>
          <w:rFonts w:asciiTheme="minorEastAsia" w:hAnsiTheme="minorEastAsia" w:eastAsiaTheme="minorEastAsia"/>
          <w:color w:val="FF0000"/>
          <w:sz w:val="24"/>
        </w:rPr>
        <w:t>交工付款申请单</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本项（1）目约定为：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承包人向监理人提交交工付款申请单（包括相关证明材料）的份数在项目专用合同条款数据表中约定；期限：交工验收证书签发后42天内。</w:t>
      </w:r>
    </w:p>
    <w:p>
      <w:pPr>
        <w:spacing w:line="400" w:lineRule="atLeast"/>
        <w:ind w:firstLine="470" w:firstLineChars="196"/>
        <w:rPr>
          <w:rFonts w:asciiTheme="minorEastAsia" w:hAnsiTheme="minorEastAsia" w:eastAsiaTheme="minorEastAsia"/>
          <w:color w:val="FF0000"/>
          <w:sz w:val="24"/>
        </w:rPr>
      </w:pPr>
      <w:r>
        <w:rPr>
          <w:rFonts w:asciiTheme="minorEastAsia" w:hAnsiTheme="minorEastAsia" w:eastAsiaTheme="minorEastAsia"/>
          <w:sz w:val="24"/>
        </w:rPr>
        <w:t xml:space="preserve">17.5.2 </w:t>
      </w:r>
      <w:r>
        <w:rPr>
          <w:rFonts w:hint="eastAsia" w:asciiTheme="minorEastAsia" w:hAnsiTheme="minorEastAsia" w:eastAsiaTheme="minorEastAsia"/>
          <w:color w:val="FF0000"/>
          <w:sz w:val="24"/>
        </w:rPr>
        <w:t>交工</w:t>
      </w:r>
      <w:r>
        <w:rPr>
          <w:rFonts w:asciiTheme="minorEastAsia" w:hAnsiTheme="minorEastAsia" w:eastAsiaTheme="minorEastAsia"/>
          <w:color w:val="FF0000"/>
          <w:sz w:val="24"/>
        </w:rPr>
        <w:t>付款证书及支付时间</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本项（</w:t>
      </w:r>
      <w:r>
        <w:rPr>
          <w:rFonts w:hint="eastAsia" w:asciiTheme="minorEastAsia" w:hAnsiTheme="minorEastAsia" w:eastAsiaTheme="minorEastAsia"/>
          <w:sz w:val="24"/>
        </w:rPr>
        <w:t>2</w:t>
      </w:r>
      <w:r>
        <w:rPr>
          <w:rFonts w:asciiTheme="minorEastAsia" w:hAnsiTheme="minorEastAsia" w:eastAsiaTheme="minorEastAsia"/>
          <w:sz w:val="24"/>
        </w:rPr>
        <w:t>）目</w:t>
      </w:r>
      <w:r>
        <w:rPr>
          <w:rFonts w:hint="eastAsia" w:asciiTheme="minorEastAsia" w:hAnsiTheme="minorEastAsia" w:eastAsiaTheme="minorEastAsia"/>
          <w:sz w:val="24"/>
        </w:rPr>
        <w:t>细化</w:t>
      </w:r>
      <w:r>
        <w:rPr>
          <w:rFonts w:asciiTheme="minorEastAsia" w:hAnsiTheme="minorEastAsia" w:eastAsiaTheme="minorEastAsia"/>
          <w:sz w:val="24"/>
        </w:rPr>
        <w:t>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发包人应在监理人出具</w:t>
      </w:r>
      <w:r>
        <w:rPr>
          <w:rFonts w:hint="eastAsia" w:asciiTheme="minorEastAsia" w:hAnsiTheme="minorEastAsia" w:eastAsiaTheme="minorEastAsia"/>
          <w:sz w:val="24"/>
        </w:rPr>
        <w:t>交工</w:t>
      </w:r>
      <w:r>
        <w:rPr>
          <w:rFonts w:asciiTheme="minorEastAsia" w:hAnsiTheme="minorEastAsia" w:eastAsiaTheme="minorEastAsia"/>
          <w:sz w:val="24"/>
        </w:rPr>
        <w:t>付款证书</w:t>
      </w:r>
      <w:r>
        <w:rPr>
          <w:rFonts w:hint="eastAsia" w:asciiTheme="minorEastAsia" w:hAnsiTheme="minorEastAsia" w:eastAsiaTheme="minorEastAsia"/>
          <w:sz w:val="24"/>
        </w:rPr>
        <w:t>且承包人提交了合格的增值税专用发票</w:t>
      </w:r>
      <w:r>
        <w:rPr>
          <w:rFonts w:asciiTheme="minorEastAsia" w:hAnsiTheme="minorEastAsia" w:eastAsiaTheme="minorEastAsia"/>
          <w:sz w:val="24"/>
        </w:rPr>
        <w:t>后的14天内，将应支付款支付给承包人。发包人不按期支付的，按第17.3.3（2）目的约定，将逾期付款违约金支付给承包人。</w:t>
      </w:r>
    </w:p>
    <w:p>
      <w:pPr>
        <w:rPr>
          <w:rFonts w:asciiTheme="minorEastAsia" w:hAnsiTheme="minorEastAsia" w:eastAsiaTheme="minorEastAsia"/>
          <w:b/>
          <w:sz w:val="24"/>
        </w:rPr>
      </w:pPr>
      <w:bookmarkStart w:id="480" w:name="_Toc9352983"/>
      <w:bookmarkStart w:id="481" w:name="_Toc234833193"/>
      <w:r>
        <w:rPr>
          <w:rFonts w:asciiTheme="minorEastAsia" w:hAnsiTheme="minorEastAsia" w:eastAsiaTheme="minorEastAsia"/>
          <w:sz w:val="24"/>
        </w:rPr>
        <w:t>17.6 最终结清</w:t>
      </w:r>
      <w:bookmarkEnd w:id="480"/>
      <w:bookmarkEnd w:id="481"/>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17.6.1 最终结清申请单</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本项（1）目约定为：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承包人向监理人提交最终结清申请单（包括相关证明材料）的份数在项目专用合同条款数据表中约定；期限：缺陷责任期终止证书签发后28天内。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最终结清申请单中的总金额应认为是代表了根据合同规定应付给承包人的全部款项的最后结算。</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 xml:space="preserve">17.6.2 最终结清证书和支付时间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w:t>
      </w:r>
      <w:r>
        <w:rPr>
          <w:rFonts w:hint="eastAsia" w:asciiTheme="minorEastAsia" w:hAnsiTheme="minorEastAsia" w:eastAsiaTheme="minorEastAsia"/>
          <w:sz w:val="24"/>
        </w:rPr>
        <w:t>2</w:t>
      </w:r>
      <w:r>
        <w:rPr>
          <w:rFonts w:asciiTheme="minorEastAsia" w:hAnsiTheme="minorEastAsia" w:eastAsiaTheme="minorEastAsia"/>
          <w:sz w:val="24"/>
        </w:rPr>
        <w:t>）目</w:t>
      </w:r>
      <w:r>
        <w:rPr>
          <w:rFonts w:hint="eastAsia" w:asciiTheme="minorEastAsia" w:hAnsiTheme="minorEastAsia" w:eastAsiaTheme="minorEastAsia"/>
          <w:sz w:val="24"/>
        </w:rPr>
        <w:t>细化</w:t>
      </w:r>
      <w:r>
        <w:rPr>
          <w:rFonts w:asciiTheme="minorEastAsia" w:hAnsiTheme="minorEastAsia" w:eastAsiaTheme="minorEastAsia"/>
          <w:sz w:val="24"/>
        </w:rPr>
        <w:t>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（2）发包人应在监理人出具最终结清证书</w:t>
      </w:r>
      <w:r>
        <w:rPr>
          <w:rFonts w:hint="eastAsia" w:asciiTheme="minorEastAsia" w:hAnsiTheme="minorEastAsia" w:eastAsiaTheme="minorEastAsia"/>
          <w:sz w:val="24"/>
        </w:rPr>
        <w:t>且承包人提交了合格的增值税专用发票</w:t>
      </w:r>
      <w:r>
        <w:rPr>
          <w:rFonts w:asciiTheme="minorEastAsia" w:hAnsiTheme="minorEastAsia" w:eastAsiaTheme="minorEastAsia"/>
          <w:sz w:val="24"/>
        </w:rPr>
        <w:t>后的14天内，将应支付款支付给承包人。发包人不按期支付的，按第17.3.3（2）目的约定，将逾期付款违约金支付给承包人。</w:t>
      </w:r>
    </w:p>
    <w:p>
      <w:pPr>
        <w:rPr>
          <w:rFonts w:asciiTheme="minorEastAsia" w:hAnsiTheme="minorEastAsia" w:eastAsiaTheme="minorEastAsia"/>
          <w:b/>
          <w:sz w:val="24"/>
        </w:rPr>
      </w:pPr>
      <w:bookmarkStart w:id="482" w:name="_Toc234833194"/>
      <w:bookmarkStart w:id="483" w:name="_Toc9352984"/>
      <w:r>
        <w:rPr>
          <w:rFonts w:asciiTheme="minorEastAsia" w:hAnsiTheme="minorEastAsia" w:eastAsiaTheme="minorEastAsia"/>
          <w:b/>
          <w:sz w:val="24"/>
        </w:rPr>
        <w:t>18. 交工验收</w:t>
      </w:r>
      <w:bookmarkEnd w:id="482"/>
      <w:bookmarkEnd w:id="483"/>
    </w:p>
    <w:p>
      <w:pPr>
        <w:rPr>
          <w:rFonts w:asciiTheme="minorEastAsia" w:hAnsiTheme="minorEastAsia" w:eastAsiaTheme="minorEastAsia"/>
          <w:b/>
          <w:sz w:val="24"/>
        </w:rPr>
      </w:pPr>
      <w:bookmarkStart w:id="484" w:name="_Toc234833195"/>
      <w:bookmarkStart w:id="485" w:name="_Toc9352985"/>
      <w:r>
        <w:rPr>
          <w:rFonts w:asciiTheme="minorEastAsia" w:hAnsiTheme="minorEastAsia" w:eastAsiaTheme="minorEastAsia"/>
          <w:sz w:val="24"/>
        </w:rPr>
        <w:t>18.2 交工验收申请报告</w:t>
      </w:r>
      <w:bookmarkEnd w:id="484"/>
      <w:bookmarkEnd w:id="485"/>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本款第（2）项约定为：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竣工资料的内容：承包人应按照《公路工程竣（交）工验收办法》和相关规定编制竣工资料。</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竣工资料的份数在项目专用合同条款数据表中约定。</w:t>
      </w:r>
    </w:p>
    <w:p>
      <w:pPr>
        <w:rPr>
          <w:rFonts w:asciiTheme="minorEastAsia" w:hAnsiTheme="minorEastAsia" w:eastAsiaTheme="minorEastAsia"/>
          <w:b/>
          <w:sz w:val="24"/>
        </w:rPr>
      </w:pPr>
      <w:bookmarkStart w:id="486" w:name="_Toc234833196"/>
      <w:bookmarkStart w:id="487" w:name="_Toc9352986"/>
      <w:r>
        <w:rPr>
          <w:rFonts w:asciiTheme="minorEastAsia" w:hAnsiTheme="minorEastAsia" w:eastAsiaTheme="minorEastAsia"/>
          <w:sz w:val="24"/>
        </w:rPr>
        <w:t>18.3 验收</w:t>
      </w:r>
      <w:bookmarkEnd w:id="486"/>
      <w:bookmarkEnd w:id="487"/>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第18.3.2项补充：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成交工验收准备工作。</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第18.3.5项约定为：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经验收合格工程的实际交工日期，以最终提交交工验收申请报告的日期为准，并在交工验收证书中写明。</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本款补充第18.3.7项：</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组织办理交工验收和签发交工验收证书的费用由发包人承担。但按照第18.3.4项规定达不到合格标准的交工验收费用由承包人承担。</w:t>
      </w:r>
    </w:p>
    <w:p>
      <w:pPr>
        <w:spacing w:beforeLines="100" w:line="400" w:lineRule="atLeast"/>
        <w:rPr>
          <w:rFonts w:asciiTheme="minorEastAsia" w:hAnsiTheme="minorEastAsia" w:eastAsiaTheme="minorEastAsia"/>
          <w:sz w:val="24"/>
        </w:rPr>
      </w:pPr>
      <w:r>
        <w:rPr>
          <w:rFonts w:asciiTheme="minorEastAsia" w:hAnsiTheme="minorEastAsia" w:eastAsiaTheme="minorEastAsia"/>
          <w:sz w:val="24"/>
        </w:rPr>
        <w:t>本条补充第18.9款：</w:t>
      </w:r>
    </w:p>
    <w:p>
      <w:pPr>
        <w:rPr>
          <w:rFonts w:asciiTheme="minorEastAsia" w:hAnsiTheme="minorEastAsia" w:eastAsiaTheme="minorEastAsia"/>
          <w:b/>
          <w:sz w:val="24"/>
        </w:rPr>
      </w:pPr>
      <w:bookmarkStart w:id="488" w:name="_Toc234833197"/>
      <w:bookmarkStart w:id="489" w:name="_Toc9352987"/>
      <w:r>
        <w:rPr>
          <w:rFonts w:asciiTheme="minorEastAsia" w:hAnsiTheme="minorEastAsia" w:eastAsiaTheme="minorEastAsia"/>
          <w:sz w:val="24"/>
        </w:rPr>
        <w:t>18.9 竣工文件</w:t>
      </w:r>
      <w:bookmarkEnd w:id="488"/>
      <w:bookmarkEnd w:id="489"/>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承包人应按照《公路工程竣（交）工验收办法》的相关规定，在缺陷责任期内为竣工验收补充竣工资料，并在签发缺陷责任期终止证书之前提交。</w:t>
      </w:r>
    </w:p>
    <w:p>
      <w:pPr>
        <w:rPr>
          <w:rFonts w:asciiTheme="minorEastAsia" w:hAnsiTheme="minorEastAsia" w:eastAsiaTheme="minorEastAsia"/>
          <w:b/>
          <w:sz w:val="24"/>
        </w:rPr>
      </w:pPr>
      <w:bookmarkStart w:id="490" w:name="_Toc234833198"/>
      <w:bookmarkStart w:id="491" w:name="_Toc9352988"/>
      <w:r>
        <w:rPr>
          <w:rFonts w:asciiTheme="minorEastAsia" w:hAnsiTheme="minorEastAsia" w:eastAsiaTheme="minorEastAsia"/>
          <w:b/>
          <w:sz w:val="24"/>
        </w:rPr>
        <w:t>19. 缺陷责任与保修责任</w:t>
      </w:r>
      <w:bookmarkEnd w:id="490"/>
      <w:bookmarkEnd w:id="491"/>
    </w:p>
    <w:p>
      <w:pPr>
        <w:rPr>
          <w:rFonts w:asciiTheme="minorEastAsia" w:hAnsiTheme="minorEastAsia" w:eastAsiaTheme="minorEastAsia"/>
          <w:b/>
          <w:sz w:val="24"/>
        </w:rPr>
      </w:pPr>
      <w:bookmarkStart w:id="492" w:name="_Toc234833199"/>
      <w:bookmarkStart w:id="493" w:name="_Toc9352989"/>
      <w:r>
        <w:rPr>
          <w:rFonts w:asciiTheme="minorEastAsia" w:hAnsiTheme="minorEastAsia" w:eastAsiaTheme="minorEastAsia"/>
          <w:sz w:val="24"/>
        </w:rPr>
        <w:t>19.2 缺陷责任</w:t>
      </w:r>
      <w:bookmarkEnd w:id="492"/>
      <w:bookmarkEnd w:id="493"/>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第19.2.2项补充：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在缺陷责任期内，承包人应尽快完成在交工验收证书中写明的未完成工作，并完成对本工程缺陷的修复或监理人指令的修补工作。</w:t>
      </w:r>
    </w:p>
    <w:p>
      <w:pPr>
        <w:rPr>
          <w:rFonts w:asciiTheme="minorEastAsia" w:hAnsiTheme="minorEastAsia" w:eastAsiaTheme="minorEastAsia"/>
          <w:b/>
          <w:sz w:val="24"/>
        </w:rPr>
      </w:pPr>
      <w:bookmarkStart w:id="494" w:name="_Toc234833200"/>
      <w:bookmarkStart w:id="495" w:name="_Toc9352990"/>
      <w:r>
        <w:rPr>
          <w:rFonts w:asciiTheme="minorEastAsia" w:hAnsiTheme="minorEastAsia" w:eastAsiaTheme="minorEastAsia"/>
          <w:sz w:val="24"/>
        </w:rPr>
        <w:t>19.5 承包人的进入权</w:t>
      </w:r>
      <w:bookmarkEnd w:id="494"/>
      <w:bookmarkEnd w:id="495"/>
      <w:r>
        <w:rPr>
          <w:rFonts w:asciiTheme="minorEastAsia" w:hAnsiTheme="minorEastAsia" w:eastAsiaTheme="minorEastAsia"/>
          <w:sz w:val="24"/>
        </w:rPr>
        <w:t xml:space="preserve"> </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承包人在缺陷修复施工过程中，应服从管养单位的有关安全管理规定，由于承包人自身原因造成的人员伤亡、设备和材料的损毁及罚款等责任由承包人自负。</w:t>
      </w:r>
    </w:p>
    <w:p>
      <w:pPr>
        <w:rPr>
          <w:rFonts w:asciiTheme="minorEastAsia" w:hAnsiTheme="minorEastAsia" w:eastAsiaTheme="minorEastAsia"/>
          <w:b/>
          <w:sz w:val="24"/>
        </w:rPr>
      </w:pPr>
      <w:bookmarkStart w:id="496" w:name="_Toc234833201"/>
      <w:bookmarkStart w:id="497" w:name="_Toc9352991"/>
      <w:r>
        <w:rPr>
          <w:rFonts w:asciiTheme="minorEastAsia" w:hAnsiTheme="minorEastAsia" w:eastAsiaTheme="minorEastAsia"/>
          <w:sz w:val="24"/>
        </w:rPr>
        <w:t>19.7 保修责任</w:t>
      </w:r>
      <w:bookmarkEnd w:id="496"/>
      <w:bookmarkEnd w:id="497"/>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保修期自实际交工日期起计算，具体期限在项目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（2）在全部工程交工验收前，已经发包人提前验收的单位工程，其保修期的起算日期相应提前。</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（3）工程保修期终止后28天内，监理人签发保修期终止证书。</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（4）若承包人不履行保修义务和责任，则承包人应承担由于违约造成的法律后果，并由发包人将其违约行为上报省级交通运输主管部门，作为不良记录纳入公路建设市场信用信息管理系统。</w:t>
      </w:r>
    </w:p>
    <w:p>
      <w:pPr>
        <w:rPr>
          <w:rFonts w:asciiTheme="minorEastAsia" w:hAnsiTheme="minorEastAsia" w:eastAsiaTheme="minorEastAsia"/>
          <w:b/>
          <w:sz w:val="24"/>
        </w:rPr>
      </w:pPr>
      <w:bookmarkStart w:id="498" w:name="_Toc234833202"/>
      <w:bookmarkStart w:id="499" w:name="_Toc9352992"/>
      <w:r>
        <w:rPr>
          <w:rFonts w:asciiTheme="minorEastAsia" w:hAnsiTheme="minorEastAsia" w:eastAsiaTheme="minorEastAsia"/>
          <w:b/>
          <w:sz w:val="24"/>
        </w:rPr>
        <w:t>20. 保险</w:t>
      </w:r>
      <w:bookmarkEnd w:id="498"/>
      <w:bookmarkEnd w:id="499"/>
    </w:p>
    <w:p>
      <w:pPr>
        <w:rPr>
          <w:rFonts w:asciiTheme="minorEastAsia" w:hAnsiTheme="minorEastAsia" w:eastAsiaTheme="minorEastAsia"/>
          <w:b/>
          <w:sz w:val="24"/>
        </w:rPr>
      </w:pPr>
      <w:bookmarkStart w:id="500" w:name="_Toc234833203"/>
      <w:bookmarkStart w:id="501" w:name="_Toc9352993"/>
      <w:r>
        <w:rPr>
          <w:rFonts w:asciiTheme="minorEastAsia" w:hAnsiTheme="minorEastAsia" w:eastAsiaTheme="minorEastAsia"/>
          <w:sz w:val="24"/>
        </w:rPr>
        <w:t>20.1工程保险</w:t>
      </w:r>
      <w:bookmarkEnd w:id="500"/>
      <w:bookmarkEnd w:id="501"/>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本款约定为：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建筑工程一切险的投保内容：为本合同工程的永久工程、临时工程和设备及已运至施工工地用于永久工程的材料和设备所投的保险。</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保险金额：工程量清单第100章（不含建筑工程一切险及第三者责任险的保险费）至第700章的合计金额。</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保险费率：在项目专用合同条款数据表中约定。</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保险期限：开工日起直至本合同工程签发缺陷责任期终止证书止（即合同工期＋缺陷责任期）</w:t>
      </w:r>
      <w:r>
        <w:rPr>
          <w:rFonts w:hint="eastAsia" w:asciiTheme="minorEastAsia" w:hAnsiTheme="minorEastAsia" w:eastAsiaTheme="minorEastAsia"/>
          <w:sz w:val="24"/>
        </w:rPr>
        <w:t>。</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承包人应以发包人和承包人的共同名义投保建筑工程一切险。建筑工程一切险的保险费由承包人报价时列入工程量清单第100章内。发包人在接到保险单后，将按照保险单的费用直接向承包人支付。</w:t>
      </w:r>
    </w:p>
    <w:p>
      <w:pPr>
        <w:rPr>
          <w:rFonts w:asciiTheme="minorEastAsia" w:hAnsiTheme="minorEastAsia" w:eastAsiaTheme="minorEastAsia"/>
          <w:b/>
          <w:sz w:val="24"/>
        </w:rPr>
      </w:pPr>
      <w:bookmarkStart w:id="502" w:name="_Toc234833204"/>
      <w:bookmarkStart w:id="503" w:name="_Toc9352994"/>
      <w:r>
        <w:rPr>
          <w:rFonts w:asciiTheme="minorEastAsia" w:hAnsiTheme="minorEastAsia" w:eastAsiaTheme="minorEastAsia"/>
          <w:sz w:val="24"/>
        </w:rPr>
        <w:t>20.4 第三者责任险</w:t>
      </w:r>
      <w:bookmarkEnd w:id="502"/>
      <w:bookmarkEnd w:id="503"/>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第20.4.2项补充：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第三者责任险的保险费由承包人报价时列入工程量清单第100章内。发包人在接到保险单后，将按照保险单的费用直接向承包人支付。</w:t>
      </w:r>
    </w:p>
    <w:p>
      <w:pPr>
        <w:rPr>
          <w:rFonts w:asciiTheme="minorEastAsia" w:hAnsiTheme="minorEastAsia" w:eastAsiaTheme="minorEastAsia"/>
          <w:b/>
          <w:sz w:val="24"/>
        </w:rPr>
      </w:pPr>
      <w:bookmarkStart w:id="504" w:name="_Toc234833205"/>
      <w:bookmarkStart w:id="505" w:name="_Toc9352995"/>
      <w:r>
        <w:rPr>
          <w:rFonts w:asciiTheme="minorEastAsia" w:hAnsiTheme="minorEastAsia" w:eastAsiaTheme="minorEastAsia"/>
          <w:sz w:val="24"/>
        </w:rPr>
        <w:t>20.5 其他保险</w:t>
      </w:r>
      <w:bookmarkEnd w:id="504"/>
      <w:bookmarkEnd w:id="505"/>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本款约定为：</w:t>
      </w:r>
    </w:p>
    <w:p>
      <w:pPr>
        <w:spacing w:line="400" w:lineRule="atLeast"/>
        <w:ind w:firstLine="420"/>
        <w:rPr>
          <w:rFonts w:asciiTheme="minorEastAsia" w:hAnsiTheme="minorEastAsia" w:eastAsiaTheme="minorEastAsia"/>
          <w:sz w:val="24"/>
        </w:rPr>
      </w:pPr>
      <w:r>
        <w:rPr>
          <w:rFonts w:asciiTheme="minorEastAsia" w:hAnsiTheme="minorEastAsia" w:eastAsiaTheme="minorEastAsia"/>
          <w:sz w:val="24"/>
        </w:rPr>
        <w:t>承包人应为其施工设备等办理保险，其投保金额应足以现场重置。办理本款保险的一切费用均由承包人承担，并包括在工程量清单的单价及总额价中，发包人不单独支付。</w:t>
      </w:r>
    </w:p>
    <w:p>
      <w:pPr>
        <w:rPr>
          <w:rFonts w:asciiTheme="minorEastAsia" w:hAnsiTheme="minorEastAsia" w:eastAsiaTheme="minorEastAsia"/>
          <w:b/>
          <w:sz w:val="24"/>
        </w:rPr>
      </w:pPr>
      <w:bookmarkStart w:id="506" w:name="_Toc234833206"/>
      <w:bookmarkStart w:id="507" w:name="_Toc9352996"/>
      <w:r>
        <w:rPr>
          <w:rFonts w:asciiTheme="minorEastAsia" w:hAnsiTheme="minorEastAsia" w:eastAsiaTheme="minorEastAsia"/>
          <w:sz w:val="24"/>
        </w:rPr>
        <w:t>20.6 对各项保险的一般要求</w:t>
      </w:r>
      <w:bookmarkEnd w:id="506"/>
      <w:bookmarkEnd w:id="507"/>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20.6.1 保险凭证</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本项约定为：</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承包人向发包人提交各项保险生效的证据和保险单副本的期限：开工后56天内。</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20.6.3 持续保险</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在整个合同期内，承包人应按合同条款规定保证足够的保险额。</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20.6.4 保险金不足的补偿</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保险金不足以补偿损失的（包括免赔额和超过赔偿限额的部分），应由承包人和（或）发包人按合同约定负责补偿。</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20.6.5 未按约定投保的补救</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本项（2）目细化为：</w:t>
      </w:r>
    </w:p>
    <w:p>
      <w:pPr>
        <w:spacing w:line="400" w:lineRule="atLeast"/>
        <w:ind w:firstLine="390"/>
        <w:rPr>
          <w:rFonts w:asciiTheme="minorEastAsia" w:hAnsiTheme="minorEastAsia" w:eastAsiaTheme="minorEastAsia"/>
          <w:sz w:val="24"/>
        </w:rPr>
      </w:pPr>
      <w:r>
        <w:rPr>
          <w:rFonts w:asciiTheme="minorEastAsia" w:hAnsiTheme="minorEastAsia" w:eastAsiaTheme="minorEastAsia"/>
          <w:sz w:val="24"/>
        </w:rPr>
        <w:t>（2）由于负有投保义务的一方当事人未按合同约定办理某项保险，或未按保险单规定的条件和期限及时向保险人报告事故情况，或未按要求的保险期限进行投保，或未按要求投保足够的保险金额，导致受益人未能或未能全部得到保险人的赔偿，原应从该项保险得到的保险金应由负有投保义务的一方当事人支付。</w:t>
      </w:r>
    </w:p>
    <w:p>
      <w:pPr>
        <w:rPr>
          <w:rFonts w:asciiTheme="minorEastAsia" w:hAnsiTheme="minorEastAsia" w:eastAsiaTheme="minorEastAsia"/>
          <w:sz w:val="24"/>
        </w:rPr>
      </w:pPr>
      <w:bookmarkStart w:id="508" w:name="_Toc234833207"/>
      <w:bookmarkStart w:id="509" w:name="_Toc9352997"/>
      <w:r>
        <w:rPr>
          <w:rFonts w:asciiTheme="minorEastAsia" w:hAnsiTheme="minorEastAsia" w:eastAsiaTheme="minorEastAsia"/>
          <w:sz w:val="24"/>
        </w:rPr>
        <w:t>21. 不可抗力</w:t>
      </w:r>
      <w:bookmarkEnd w:id="508"/>
      <w:bookmarkEnd w:id="509"/>
    </w:p>
    <w:p>
      <w:pPr>
        <w:rPr>
          <w:rFonts w:asciiTheme="minorEastAsia" w:hAnsiTheme="minorEastAsia" w:eastAsiaTheme="minorEastAsia"/>
          <w:sz w:val="24"/>
        </w:rPr>
      </w:pPr>
      <w:bookmarkStart w:id="510" w:name="_Toc234833208"/>
      <w:bookmarkStart w:id="511" w:name="_Toc9352998"/>
      <w:r>
        <w:rPr>
          <w:rFonts w:asciiTheme="minorEastAsia" w:hAnsiTheme="minorEastAsia" w:eastAsiaTheme="minorEastAsia"/>
          <w:sz w:val="24"/>
        </w:rPr>
        <w:t>21.1 不可抗力的确认</w:t>
      </w:r>
      <w:bookmarkEnd w:id="510"/>
      <w:bookmarkEnd w:id="511"/>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第21.1.1项细化为：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不可抗力是指承包人和发包人在订立合同时不可预见，在工程施工过程中不可避免发生并不能克服的自然灾害和社会性突发事件。包括但不限于：</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（1）地震、海啸、火山爆发、泥石流、暴雨（雪）、台风、龙卷风、水灾等自然灾害；</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（2）战争、骚乱、暴动，但纯属承包人或其分包人派遣与雇用的人员由于本合同工程施工原因引起者除外；</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（3）核反应、辐射或放射性污染；</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（4）空中飞行物体坠落或非发包人或承包人责任造成的爆炸、火灾；</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（5）瘟疫；</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（6）项目专用合同条款约定的其他情形。</w:t>
      </w:r>
    </w:p>
    <w:p>
      <w:pPr>
        <w:rPr>
          <w:rFonts w:asciiTheme="minorEastAsia" w:hAnsiTheme="minorEastAsia" w:eastAsiaTheme="minorEastAsia"/>
          <w:sz w:val="24"/>
        </w:rPr>
      </w:pPr>
      <w:bookmarkStart w:id="512" w:name="_Toc234833209"/>
      <w:bookmarkStart w:id="513" w:name="_Toc9352999"/>
      <w:r>
        <w:rPr>
          <w:rFonts w:asciiTheme="minorEastAsia" w:hAnsiTheme="minorEastAsia" w:eastAsiaTheme="minorEastAsia"/>
          <w:sz w:val="24"/>
        </w:rPr>
        <w:t>21.3 不可抗力后果及其处理</w:t>
      </w:r>
      <w:bookmarkEnd w:id="512"/>
      <w:bookmarkEnd w:id="513"/>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21.3.4 因不可抗力解除合同</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但由于解除合同应赔偿的承包人损失不予考虑。</w:t>
      </w:r>
    </w:p>
    <w:p>
      <w:pPr>
        <w:rPr>
          <w:rFonts w:asciiTheme="minorEastAsia" w:hAnsiTheme="minorEastAsia" w:eastAsiaTheme="minorEastAsia"/>
          <w:b/>
        </w:rPr>
      </w:pPr>
      <w:bookmarkStart w:id="514" w:name="_Toc234833210"/>
      <w:bookmarkStart w:id="515" w:name="_Toc9353000"/>
      <w:r>
        <w:rPr>
          <w:rFonts w:asciiTheme="minorEastAsia" w:hAnsiTheme="minorEastAsia" w:eastAsiaTheme="minorEastAsia"/>
          <w:b/>
        </w:rPr>
        <w:t>22. 违约</w:t>
      </w:r>
      <w:bookmarkEnd w:id="514"/>
      <w:bookmarkEnd w:id="515"/>
    </w:p>
    <w:p>
      <w:pPr>
        <w:rPr>
          <w:rFonts w:asciiTheme="minorEastAsia" w:hAnsiTheme="minorEastAsia" w:eastAsiaTheme="minorEastAsia"/>
          <w:b/>
          <w:sz w:val="24"/>
        </w:rPr>
      </w:pPr>
      <w:bookmarkStart w:id="516" w:name="_Toc234833211"/>
      <w:bookmarkStart w:id="517" w:name="_Toc9353001"/>
      <w:r>
        <w:rPr>
          <w:rFonts w:asciiTheme="minorEastAsia" w:hAnsiTheme="minorEastAsia" w:eastAsiaTheme="minorEastAsia"/>
          <w:sz w:val="24"/>
        </w:rPr>
        <w:t>22.1 承包人违约</w:t>
      </w:r>
      <w:bookmarkEnd w:id="516"/>
      <w:bookmarkEnd w:id="517"/>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22.1.1 承包人违约的情形</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本项（2）目细化为：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（2）承包人违反第5.3款或第6.4款的约定，未经监理人批准，私自将已按合同约定进入施工场地的施工设备、临时设施、材料或工程设备撤离施工场地；</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本项（7）目细化为：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（7）承包人未能按期开工；</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（8）承包人违反第4.6款或第6.3款的规定，未按承诺或未按监理人的要求及时配备称职的主要管理人员、技术骨干或关键施工设备；</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（9）经监理人和发包人检查，发现承包人有安全问题或有违反安全管理规章制度的情况；</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（10）承包人不按合同约定履行义务的其他情况。</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22.1.2 对承包人违约的处理</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本项补充：</w:t>
      </w:r>
    </w:p>
    <w:p>
      <w:pPr>
        <w:spacing w:line="400" w:lineRule="atLeast"/>
        <w:ind w:firstLine="480" w:firstLineChars="200"/>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承包人发生第22.1.1项约定的违约情况时，无论发包人是否解除合同，发包人均有权向承包人课以项目专用合同条款中规定的违约金，并由发包人将其违约行为上报省级交通运输主管部门，作为不良记录纳入公路建设市场信用信息管理系统。</w:t>
      </w:r>
    </w:p>
    <w:p>
      <w:pPr>
        <w:rPr>
          <w:rFonts w:asciiTheme="minorEastAsia" w:hAnsiTheme="minorEastAsia" w:eastAsiaTheme="minorEastAsia"/>
          <w:b/>
          <w:sz w:val="24"/>
        </w:rPr>
      </w:pPr>
      <w:bookmarkStart w:id="518" w:name="_Toc234833212"/>
      <w:bookmarkStart w:id="519" w:name="_Toc9353002"/>
      <w:r>
        <w:rPr>
          <w:rFonts w:asciiTheme="minorEastAsia" w:hAnsiTheme="minorEastAsia" w:eastAsiaTheme="minorEastAsia"/>
          <w:sz w:val="24"/>
        </w:rPr>
        <w:t>22.2 发包人违约</w:t>
      </w:r>
      <w:bookmarkEnd w:id="518"/>
      <w:bookmarkEnd w:id="519"/>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22.2.1发包人违约的情形</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w:t>
      </w:r>
      <w:r>
        <w:rPr>
          <w:rFonts w:hint="eastAsia" w:asciiTheme="minorEastAsia" w:hAnsiTheme="minorEastAsia" w:eastAsiaTheme="minorEastAsia"/>
          <w:sz w:val="24"/>
        </w:rPr>
        <w:t>5</w:t>
      </w:r>
      <w:r>
        <w:rPr>
          <w:rFonts w:asciiTheme="minorEastAsia" w:hAnsiTheme="minorEastAsia" w:eastAsiaTheme="minorEastAsia"/>
          <w:sz w:val="24"/>
        </w:rPr>
        <w:t>）目细化为：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w:t>
      </w:r>
      <w:r>
        <w:rPr>
          <w:rFonts w:hint="eastAsia" w:asciiTheme="minorEastAsia" w:hAnsiTheme="minorEastAsia" w:eastAsiaTheme="minorEastAsia"/>
          <w:sz w:val="24"/>
        </w:rPr>
        <w:t>5</w:t>
      </w:r>
      <w:r>
        <w:rPr>
          <w:rFonts w:asciiTheme="minorEastAsia" w:hAnsiTheme="minorEastAsia" w:eastAsiaTheme="minorEastAsia"/>
          <w:sz w:val="24"/>
        </w:rPr>
        <w:t>）</w:t>
      </w:r>
      <w:r>
        <w:rPr>
          <w:rFonts w:hint="eastAsia" w:asciiTheme="minorEastAsia" w:hAnsiTheme="minorEastAsia" w:eastAsiaTheme="minorEastAsia"/>
          <w:sz w:val="24"/>
        </w:rPr>
        <w:t>发包</w:t>
      </w:r>
      <w:r>
        <w:rPr>
          <w:rFonts w:asciiTheme="minorEastAsia" w:hAnsiTheme="minorEastAsia" w:eastAsiaTheme="minorEastAsia"/>
          <w:sz w:val="24"/>
        </w:rPr>
        <w:t>人</w:t>
      </w:r>
      <w:r>
        <w:rPr>
          <w:rFonts w:hint="eastAsia" w:asciiTheme="minorEastAsia" w:hAnsiTheme="minorEastAsia" w:eastAsiaTheme="minorEastAsia"/>
          <w:sz w:val="24"/>
        </w:rPr>
        <w:t>无正当理由不按时返还履约保证金、质量保证金或农民工工资保证金的</w:t>
      </w:r>
      <w:r>
        <w:rPr>
          <w:rFonts w:asciiTheme="minorEastAsia" w:hAnsiTheme="minorEastAsia" w:eastAsiaTheme="minorEastAsia"/>
          <w:sz w:val="24"/>
        </w:rPr>
        <w:t>；</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w:t>
      </w:r>
      <w:r>
        <w:rPr>
          <w:rFonts w:hint="eastAsia" w:asciiTheme="minorEastAsia" w:hAnsiTheme="minorEastAsia" w:eastAsiaTheme="minorEastAsia"/>
          <w:sz w:val="24"/>
        </w:rPr>
        <w:t>6</w:t>
      </w:r>
      <w:r>
        <w:rPr>
          <w:rFonts w:asciiTheme="minorEastAsia" w:hAnsiTheme="minorEastAsia" w:eastAsiaTheme="minorEastAsia"/>
          <w:sz w:val="24"/>
        </w:rPr>
        <w:t>）发包人不履行合同约定其他义务的。</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22.2.2 承包人有权暂停施工</w:t>
      </w:r>
    </w:p>
    <w:p>
      <w:pPr>
        <w:spacing w:line="400" w:lineRule="atLeast"/>
        <w:ind w:firstLine="470" w:firstLineChars="196"/>
        <w:rPr>
          <w:rFonts w:asciiTheme="minorEastAsia" w:hAnsiTheme="minorEastAsia" w:eastAsiaTheme="minorEastAsia"/>
          <w:sz w:val="24"/>
        </w:rPr>
      </w:pPr>
      <w:r>
        <w:rPr>
          <w:rFonts w:hint="eastAsia" w:asciiTheme="minorEastAsia" w:hAnsiTheme="minorEastAsia" w:eastAsiaTheme="minorEastAsia"/>
          <w:sz w:val="24"/>
        </w:rPr>
        <w:t>本项细化为：</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发包人发生除第22.2.1（4）</w:t>
      </w:r>
      <w:r>
        <w:rPr>
          <w:rFonts w:hint="eastAsia" w:asciiTheme="minorEastAsia" w:hAnsiTheme="minorEastAsia" w:eastAsiaTheme="minorEastAsia"/>
          <w:sz w:val="24"/>
        </w:rPr>
        <w:t>、（5）</w:t>
      </w:r>
      <w:r>
        <w:rPr>
          <w:rFonts w:asciiTheme="minorEastAsia" w:hAnsiTheme="minorEastAsia" w:eastAsiaTheme="minorEastAsia"/>
          <w:sz w:val="24"/>
        </w:rPr>
        <w:t>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发包人发生第22.2.1</w:t>
      </w:r>
      <w:r>
        <w:rPr>
          <w:rFonts w:hint="eastAsia" w:asciiTheme="minorEastAsia" w:hAnsiTheme="minorEastAsia" w:eastAsiaTheme="minorEastAsia"/>
          <w:sz w:val="24"/>
        </w:rPr>
        <w:t>（5）</w:t>
      </w:r>
      <w:r>
        <w:rPr>
          <w:rFonts w:asciiTheme="minorEastAsia" w:hAnsiTheme="minorEastAsia" w:eastAsiaTheme="minorEastAsia"/>
          <w:sz w:val="24"/>
        </w:rPr>
        <w:t>目的违约情况时，承包人可向发包人发出通知，要求发包人采取有效措施纠正违约行为。发包人收到承包人通知后的28天内仍</w:t>
      </w:r>
      <w:r>
        <w:rPr>
          <w:rFonts w:hint="eastAsia" w:asciiTheme="minorEastAsia" w:hAnsiTheme="minorEastAsia" w:eastAsiaTheme="minorEastAsia"/>
          <w:sz w:val="24"/>
        </w:rPr>
        <w:t>不返还履约保证金、质量保证金或农民工工资保证金的</w:t>
      </w:r>
      <w:r>
        <w:rPr>
          <w:rFonts w:asciiTheme="minorEastAsia" w:hAnsiTheme="minorEastAsia" w:eastAsiaTheme="minorEastAsia"/>
          <w:sz w:val="24"/>
        </w:rPr>
        <w:t>，</w:t>
      </w:r>
      <w:r>
        <w:rPr>
          <w:rFonts w:hint="eastAsia" w:asciiTheme="minorEastAsia" w:hAnsiTheme="minorEastAsia" w:eastAsiaTheme="minorEastAsia"/>
          <w:sz w:val="24"/>
        </w:rPr>
        <w:t>发包人应按</w:t>
      </w:r>
      <w:r>
        <w:rPr>
          <w:rFonts w:asciiTheme="minorEastAsia" w:hAnsiTheme="minorEastAsia" w:eastAsiaTheme="minorEastAsia"/>
          <w:sz w:val="24"/>
        </w:rPr>
        <w:t>项目专用合同条款</w:t>
      </w:r>
      <w:r>
        <w:rPr>
          <w:rFonts w:hint="eastAsia" w:asciiTheme="minorEastAsia" w:hAnsiTheme="minorEastAsia" w:eastAsiaTheme="minorEastAsia"/>
          <w:sz w:val="24"/>
        </w:rPr>
        <w:t>的约定向承包人支付逾期返还保证金的违约金</w:t>
      </w:r>
      <w:r>
        <w:rPr>
          <w:rFonts w:asciiTheme="minorEastAsia" w:hAnsiTheme="minorEastAsia" w:eastAsiaTheme="minorEastAsia"/>
          <w:sz w:val="24"/>
        </w:rPr>
        <w:t>。</w:t>
      </w:r>
    </w:p>
    <w:p>
      <w:pPr>
        <w:spacing w:line="400" w:lineRule="atLeast"/>
        <w:ind w:firstLine="470" w:firstLineChars="196"/>
        <w:rPr>
          <w:rFonts w:asciiTheme="minorEastAsia" w:hAnsiTheme="minorEastAsia" w:eastAsiaTheme="minorEastAsia"/>
          <w:sz w:val="24"/>
        </w:rPr>
      </w:pPr>
      <w:r>
        <w:rPr>
          <w:rFonts w:asciiTheme="minorEastAsia" w:hAnsiTheme="minorEastAsia" w:eastAsiaTheme="minorEastAsia"/>
          <w:sz w:val="24"/>
        </w:rPr>
        <w:t>22.2.4 解除合同后的付款</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本项（2）目细化为：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（2）承包人为该工程施工订购并已付款的材料、工程设备和其他物品的金额。发包人付款后，该材料、工程设备和其他物品归发包人所有；</w:t>
      </w:r>
    </w:p>
    <w:p>
      <w:pPr>
        <w:rPr>
          <w:rFonts w:asciiTheme="minorEastAsia" w:hAnsiTheme="minorEastAsia" w:eastAsiaTheme="minorEastAsia"/>
          <w:b/>
          <w:sz w:val="24"/>
        </w:rPr>
      </w:pPr>
      <w:bookmarkStart w:id="520" w:name="_Toc9353003"/>
      <w:bookmarkStart w:id="521" w:name="_Toc234833213"/>
      <w:r>
        <w:rPr>
          <w:rFonts w:asciiTheme="minorEastAsia" w:hAnsiTheme="minorEastAsia" w:eastAsiaTheme="minorEastAsia"/>
          <w:b/>
          <w:sz w:val="24"/>
        </w:rPr>
        <w:t>23. 索赔</w:t>
      </w:r>
      <w:bookmarkEnd w:id="520"/>
      <w:bookmarkEnd w:id="521"/>
    </w:p>
    <w:p>
      <w:pPr>
        <w:rPr>
          <w:rFonts w:asciiTheme="minorEastAsia" w:hAnsiTheme="minorEastAsia" w:eastAsiaTheme="minorEastAsia"/>
          <w:b/>
          <w:sz w:val="24"/>
        </w:rPr>
      </w:pPr>
      <w:bookmarkStart w:id="522" w:name="_Toc234833214"/>
      <w:bookmarkStart w:id="523" w:name="_Toc9353004"/>
      <w:r>
        <w:rPr>
          <w:rFonts w:asciiTheme="minorEastAsia" w:hAnsiTheme="minorEastAsia" w:eastAsiaTheme="minorEastAsia"/>
          <w:sz w:val="24"/>
        </w:rPr>
        <w:t>23.1 承包人索赔的提出</w:t>
      </w:r>
      <w:bookmarkEnd w:id="522"/>
      <w:bookmarkEnd w:id="523"/>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本款第（4）项细化为：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（4）在索赔事件影响结束后的28天内，承包人应向监理人递交最终索赔通知书，说明最终要求索赔的追加付款金额和（或）延长的工期，并附必要的记录和证明材料。</w:t>
      </w:r>
    </w:p>
    <w:p>
      <w:pPr>
        <w:rPr>
          <w:rFonts w:asciiTheme="minorEastAsia" w:hAnsiTheme="minorEastAsia" w:eastAsiaTheme="minorEastAsia"/>
          <w:b/>
          <w:sz w:val="24"/>
        </w:rPr>
      </w:pPr>
      <w:bookmarkStart w:id="524" w:name="_Toc234833215"/>
      <w:bookmarkStart w:id="525" w:name="_Toc9353005"/>
      <w:r>
        <w:rPr>
          <w:rFonts w:asciiTheme="minorEastAsia" w:hAnsiTheme="minorEastAsia" w:eastAsiaTheme="minorEastAsia"/>
          <w:sz w:val="24"/>
        </w:rPr>
        <w:t>23.2 承包人索赔处理程序</w:t>
      </w:r>
      <w:bookmarkEnd w:id="524"/>
      <w:bookmarkEnd w:id="525"/>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本款第（2）项细化为：</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监理人应按第3.5款商定或确定追加的付款和（或）延长的工期，并在收到上述索赔通知书或有关索赔的进一步证明材料后的42天内，将索赔处理结果报发包人批准后答复承包人。如果承包人提出的索赔要求未能遵守第23.1（2）</w:t>
      </w:r>
      <w:r>
        <w:rPr>
          <w:rFonts w:hint="eastAsia" w:asciiTheme="minorEastAsia" w:hAnsiTheme="minorEastAsia" w:eastAsiaTheme="minorEastAsia"/>
          <w:sz w:val="24"/>
        </w:rPr>
        <w:t>~</w:t>
      </w:r>
      <w:r>
        <w:rPr>
          <w:rFonts w:asciiTheme="minorEastAsia" w:hAnsiTheme="minorEastAsia" w:eastAsiaTheme="minorEastAsia"/>
          <w:sz w:val="24"/>
        </w:rPr>
        <w:t>（4）项的规定，则承包人只限于索赔由监理人按当时记录予以核实的那部分款额和（或）工期延长天数。</w:t>
      </w:r>
    </w:p>
    <w:p>
      <w:pPr>
        <w:rPr>
          <w:rFonts w:asciiTheme="minorEastAsia" w:hAnsiTheme="minorEastAsia" w:eastAsiaTheme="minorEastAsia"/>
          <w:b/>
          <w:sz w:val="24"/>
        </w:rPr>
      </w:pPr>
      <w:bookmarkStart w:id="526" w:name="_Toc234833216"/>
      <w:bookmarkStart w:id="527" w:name="_Toc9353006"/>
      <w:r>
        <w:rPr>
          <w:rFonts w:asciiTheme="minorEastAsia" w:hAnsiTheme="minorEastAsia" w:eastAsiaTheme="minorEastAsia"/>
          <w:b/>
          <w:sz w:val="24"/>
        </w:rPr>
        <w:t>24. 争议的解决</w:t>
      </w:r>
      <w:bookmarkEnd w:id="526"/>
      <w:bookmarkEnd w:id="527"/>
    </w:p>
    <w:p>
      <w:pPr>
        <w:rPr>
          <w:rFonts w:asciiTheme="minorEastAsia" w:hAnsiTheme="minorEastAsia" w:eastAsiaTheme="minorEastAsia"/>
          <w:b/>
          <w:sz w:val="24"/>
        </w:rPr>
      </w:pPr>
      <w:bookmarkStart w:id="528" w:name="_Toc234833217"/>
      <w:bookmarkStart w:id="529" w:name="_Toc9353007"/>
      <w:r>
        <w:rPr>
          <w:rFonts w:asciiTheme="minorEastAsia" w:hAnsiTheme="minorEastAsia" w:eastAsiaTheme="minorEastAsia"/>
          <w:sz w:val="24"/>
        </w:rPr>
        <w:t>24.3 争议评审</w:t>
      </w:r>
      <w:bookmarkEnd w:id="528"/>
      <w:bookmarkEnd w:id="529"/>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第24.3.1项补充：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争议评审组由3人或5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pPr>
        <w:spacing w:beforeLines="100" w:line="400" w:lineRule="atLeast"/>
        <w:rPr>
          <w:rFonts w:asciiTheme="minorEastAsia" w:hAnsiTheme="minorEastAsia" w:eastAsiaTheme="minorEastAsia"/>
          <w:sz w:val="24"/>
        </w:rPr>
      </w:pPr>
      <w:r>
        <w:rPr>
          <w:rFonts w:asciiTheme="minorEastAsia" w:hAnsiTheme="minorEastAsia" w:eastAsiaTheme="minorEastAsia"/>
          <w:sz w:val="24"/>
        </w:rPr>
        <w:t>本条补充第24.4款、第24.5款（适用于采用仲裁方式最终解决争议的项目）：</w:t>
      </w:r>
    </w:p>
    <w:p>
      <w:pPr>
        <w:rPr>
          <w:rFonts w:asciiTheme="minorEastAsia" w:hAnsiTheme="minorEastAsia" w:eastAsiaTheme="minorEastAsia"/>
          <w:b/>
          <w:sz w:val="24"/>
        </w:rPr>
      </w:pPr>
      <w:bookmarkStart w:id="530" w:name="_Toc234833218"/>
      <w:bookmarkStart w:id="531" w:name="_Toc9353008"/>
      <w:r>
        <w:rPr>
          <w:rFonts w:asciiTheme="minorEastAsia" w:hAnsiTheme="minorEastAsia" w:eastAsiaTheme="minorEastAsia"/>
          <w:sz w:val="24"/>
        </w:rPr>
        <w:t>24.4 仲裁</w:t>
      </w:r>
      <w:bookmarkEnd w:id="530"/>
      <w:bookmarkEnd w:id="531"/>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（1）对于未能友好解决或</w:t>
      </w:r>
      <w:r>
        <w:rPr>
          <w:rFonts w:hint="eastAsia" w:asciiTheme="minorEastAsia" w:hAnsiTheme="minorEastAsia" w:eastAsiaTheme="minorEastAsia"/>
          <w:sz w:val="24"/>
        </w:rPr>
        <w:t>未能</w:t>
      </w:r>
      <w:r>
        <w:rPr>
          <w:rFonts w:asciiTheme="minorEastAsia" w:hAnsiTheme="minorEastAsia" w:eastAsiaTheme="minorEastAsia"/>
          <w:sz w:val="24"/>
        </w:rPr>
        <w:t>通过争议评审解决的争议，发包人或承包人任一方均有权提交给第24.1款约定的仲裁委员会仲裁。</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仲裁可在交工之前或之后进行，但发包人、监理人和承包人各自的义务不得因在工程实施期间进行仲裁而有所改变。如果仲裁是在终止合同的情况下进行，则对合同工程应采取保护措施，措施费由败诉方承担。</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（3）仲裁裁决是终局性的并对发包人和承包人双方具有约束力。</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（4）全部仲裁费用应由败诉方承担；或按仲裁委员会裁决的比例分担。</w:t>
      </w:r>
    </w:p>
    <w:p>
      <w:pPr>
        <w:rPr>
          <w:rFonts w:asciiTheme="minorEastAsia" w:hAnsiTheme="minorEastAsia" w:eastAsiaTheme="minorEastAsia"/>
          <w:b/>
          <w:sz w:val="24"/>
        </w:rPr>
      </w:pPr>
      <w:bookmarkStart w:id="532" w:name="_Toc234833219"/>
      <w:bookmarkStart w:id="533" w:name="_Toc9353009"/>
      <w:r>
        <w:rPr>
          <w:rFonts w:asciiTheme="minorEastAsia" w:hAnsiTheme="minorEastAsia" w:eastAsiaTheme="minorEastAsia"/>
          <w:sz w:val="24"/>
        </w:rPr>
        <w:t>24.5 仲裁的执行</w:t>
      </w:r>
      <w:bookmarkEnd w:id="532"/>
      <w:bookmarkEnd w:id="533"/>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（1）任何一方不履行仲裁机构的裁决的，对方可以向有管辖权的人民法院申请执行。</w:t>
      </w:r>
    </w:p>
    <w:p>
      <w:pPr>
        <w:spacing w:line="400" w:lineRule="atLeast"/>
        <w:ind w:firstLine="480" w:firstLineChars="200"/>
        <w:rPr>
          <w:rFonts w:asciiTheme="minorEastAsia" w:hAnsiTheme="minorEastAsia" w:eastAsiaTheme="minorEastAsia"/>
          <w:sz w:val="24"/>
        </w:rPr>
      </w:pPr>
      <w:r>
        <w:rPr>
          <w:rFonts w:asciiTheme="minorEastAsia" w:hAnsiTheme="minorEastAsia" w:eastAsiaTheme="minorEastAsia"/>
          <w:sz w:val="24"/>
        </w:rPr>
        <w:t>（2）任何一方提出证据证明裁决有《中华人民共和国仲裁法》第五十八条规定情形之一的，可以向仲裁委员会所在地的中级人民法院申请撤销裁决。人民法院认定执行该裁决违背社会公共利益的，裁定不予执行。仲裁裁决被人民法院裁定不予执行的，当事人可以根据双方达成的书面仲裁协议重新申请仲裁，也可以向人民法院起诉。</w:t>
      </w:r>
    </w:p>
    <w:p>
      <w:pPr>
        <w:jc w:val="center"/>
        <w:rPr>
          <w:rFonts w:asciiTheme="minorEastAsia" w:hAnsiTheme="minorEastAsia" w:eastAsiaTheme="minorEastAsia"/>
          <w:b/>
          <w:sz w:val="32"/>
          <w:szCs w:val="32"/>
        </w:rPr>
      </w:pPr>
      <w:r>
        <w:rPr>
          <w:sz w:val="24"/>
        </w:rPr>
        <w:br w:type="page"/>
      </w:r>
      <w:bookmarkStart w:id="534" w:name="_Toc9353010"/>
      <w:bookmarkStart w:id="535" w:name="_Toc234833220"/>
      <w:r>
        <w:rPr>
          <w:rFonts w:asciiTheme="minorEastAsia" w:hAnsiTheme="minorEastAsia" w:eastAsiaTheme="minorEastAsia"/>
          <w:sz w:val="32"/>
          <w:szCs w:val="32"/>
        </w:rPr>
        <w:t>B. 项目专用合同条款</w:t>
      </w:r>
      <w:bookmarkEnd w:id="534"/>
      <w:bookmarkEnd w:id="535"/>
    </w:p>
    <w:p>
      <w:pPr>
        <w:spacing w:line="440" w:lineRule="exact"/>
        <w:rPr>
          <w:rFonts w:eastAsia="黑体"/>
          <w:sz w:val="27"/>
          <w:szCs w:val="27"/>
        </w:rPr>
      </w:pPr>
    </w:p>
    <w:p>
      <w:pPr>
        <w:pStyle w:val="19"/>
        <w:snapToGrid w:val="0"/>
        <w:spacing w:line="400" w:lineRule="atLeast"/>
        <w:ind w:left="0" w:leftChars="0"/>
        <w:rPr>
          <w:rFonts w:eastAsia="黑体"/>
          <w:sz w:val="24"/>
        </w:rPr>
      </w:pPr>
      <w:r>
        <w:rPr>
          <w:rFonts w:eastAsia="黑体"/>
          <w:sz w:val="24"/>
        </w:rPr>
        <w:t xml:space="preserve">说  </w:t>
      </w:r>
      <w:r>
        <w:rPr>
          <w:rFonts w:hint="eastAsia" w:eastAsia="黑体"/>
          <w:sz w:val="24"/>
        </w:rPr>
        <w:t>明：</w:t>
      </w:r>
    </w:p>
    <w:p>
      <w:pPr>
        <w:pStyle w:val="19"/>
        <w:snapToGrid w:val="0"/>
        <w:spacing w:line="400" w:lineRule="atLeast"/>
        <w:ind w:left="0" w:leftChars="0" w:firstLine="720" w:firstLineChars="300"/>
        <w:rPr>
          <w:rFonts w:ascii="楷体_GB2312" w:eastAsia="楷体_GB2312"/>
          <w:sz w:val="24"/>
        </w:rPr>
      </w:pPr>
      <w:r>
        <w:rPr>
          <w:rFonts w:hint="eastAsia" w:ascii="楷体_GB2312" w:eastAsia="楷体_GB2312"/>
          <w:sz w:val="24"/>
        </w:rPr>
        <w:t>1.招标人在根据《公路工程标准施工招标文件》编制项目招标文件中的“项目专用合同条款”时，可根据招标项目的具体特点和实际需要，对“通用合同条款”及“公路工程专用合同条款”进行补充和细化，除“通用合同条款”明确“专用合同条款”可作出不同约定以及“公路工程专用合同条款”明确“项目专用合同条款”可作出不同约定外，补充和细化的内容不得与“通用合同条款”及“公路工程专用合同条款”强制性规定相抵触。同时，补充、细化或约定的内容，不得违反法律、行政法规的强制性规定和平等、自愿、公平和诚实信用原则。</w:t>
      </w:r>
    </w:p>
    <w:p>
      <w:pPr>
        <w:pStyle w:val="19"/>
        <w:snapToGrid w:val="0"/>
        <w:spacing w:line="400" w:lineRule="atLeast"/>
        <w:ind w:left="0" w:leftChars="0" w:firstLine="720" w:firstLineChars="300"/>
        <w:rPr>
          <w:rFonts w:ascii="楷体_GB2312" w:eastAsia="楷体_GB2312"/>
          <w:sz w:val="24"/>
        </w:rPr>
      </w:pPr>
      <w:r>
        <w:rPr>
          <w:rFonts w:hint="eastAsia" w:ascii="楷体_GB2312" w:eastAsia="楷体_GB2312"/>
          <w:sz w:val="24"/>
        </w:rPr>
        <w:t>2.项目专用合同条款的编号应与通用合同条款和公路工程专用合同条款一致。</w:t>
      </w:r>
    </w:p>
    <w:p>
      <w:pPr>
        <w:pStyle w:val="19"/>
        <w:snapToGrid w:val="0"/>
        <w:spacing w:line="400" w:lineRule="atLeast"/>
        <w:ind w:left="0" w:leftChars="0" w:firstLine="720" w:firstLineChars="300"/>
        <w:rPr>
          <w:rFonts w:ascii="楷体_GB2312" w:eastAsia="楷体_GB2312"/>
          <w:sz w:val="24"/>
        </w:rPr>
      </w:pPr>
      <w:r>
        <w:rPr>
          <w:rFonts w:hint="eastAsia" w:ascii="楷体_GB2312" w:eastAsia="楷体_GB2312"/>
          <w:sz w:val="24"/>
        </w:rPr>
        <w:t>3.项目专用合同条款可对下列内容进行补充和细化：</w:t>
      </w:r>
    </w:p>
    <w:p>
      <w:pPr>
        <w:pStyle w:val="19"/>
        <w:snapToGrid w:val="0"/>
        <w:spacing w:line="400" w:lineRule="atLeast"/>
        <w:ind w:left="0" w:leftChars="0" w:firstLine="720" w:firstLineChars="300"/>
        <w:rPr>
          <w:rFonts w:ascii="楷体_GB2312" w:eastAsia="楷体_GB2312"/>
          <w:sz w:val="24"/>
        </w:rPr>
      </w:pPr>
      <w:r>
        <w:rPr>
          <w:rFonts w:hint="eastAsia" w:ascii="楷体_GB2312" w:eastAsia="楷体_GB2312"/>
          <w:sz w:val="24"/>
        </w:rPr>
        <w:t>（1）“通用合同条款”中明确指出“专用合同条款”可对“通用合同条款”进行修改的内容（在“通用合同条款”中用“应按合同约定”“应按专用合同条款约定”“除合同另有约定外”“除专用合同条款另有约定外”“在专用合同条款中约定”等多种文字形式表达）；</w:t>
      </w:r>
    </w:p>
    <w:p>
      <w:pPr>
        <w:pStyle w:val="19"/>
        <w:snapToGrid w:val="0"/>
        <w:spacing w:line="400" w:lineRule="atLeast"/>
        <w:ind w:left="0" w:leftChars="0" w:firstLine="720" w:firstLineChars="300"/>
        <w:rPr>
          <w:rFonts w:ascii="楷体_GB2312" w:eastAsia="楷体_GB2312"/>
          <w:sz w:val="24"/>
        </w:rPr>
      </w:pPr>
      <w:r>
        <w:rPr>
          <w:rFonts w:hint="eastAsia" w:ascii="楷体_GB2312" w:eastAsia="楷体_GB2312"/>
          <w:sz w:val="24"/>
        </w:rPr>
        <w:t>（2）“公路工程专用合同条款”中明确指出“项目专用合同条款”可对“公路工程专用合同条款”进行修改的内容（在“公路工程专用合同条款”中用“除项目专用合同条款另有约定外”“项目专用合同条款可能约定的”“项目专用合同条款约定的其他情形”等多种文字形式表达）。</w:t>
      </w:r>
    </w:p>
    <w:p>
      <w:pPr>
        <w:pStyle w:val="19"/>
        <w:snapToGrid w:val="0"/>
        <w:spacing w:line="400" w:lineRule="atLeast"/>
        <w:ind w:left="0" w:leftChars="0" w:firstLine="720" w:firstLineChars="300"/>
        <w:rPr>
          <w:rFonts w:ascii="楷体_GB2312" w:eastAsia="楷体_GB2312"/>
          <w:sz w:val="24"/>
        </w:rPr>
      </w:pPr>
      <w:r>
        <w:rPr>
          <w:rFonts w:hint="eastAsia" w:ascii="楷体_GB2312" w:eastAsia="楷体_GB2312"/>
          <w:sz w:val="24"/>
        </w:rPr>
        <w:t>（3）其他需要补充、细化的内容。</w:t>
      </w:r>
    </w:p>
    <w:p>
      <w:pPr>
        <w:jc w:val="center"/>
        <w:rPr>
          <w:sz w:val="32"/>
          <w:szCs w:val="32"/>
        </w:rPr>
      </w:pPr>
      <w:bookmarkStart w:id="536" w:name="_Toc9353011"/>
      <w:bookmarkStart w:id="537" w:name="_Toc234833221"/>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b/>
          <w:color w:val="FF0000"/>
          <w:sz w:val="32"/>
          <w:szCs w:val="32"/>
        </w:rPr>
      </w:pPr>
      <w:r>
        <w:rPr>
          <w:sz w:val="32"/>
          <w:szCs w:val="32"/>
        </w:rPr>
        <w:t>项目专用合同条款</w:t>
      </w:r>
      <w:r>
        <w:rPr>
          <w:color w:val="FF0000"/>
          <w:sz w:val="32"/>
          <w:szCs w:val="32"/>
        </w:rPr>
        <w:t>数据表</w:t>
      </w:r>
      <w:bookmarkEnd w:id="536"/>
      <w:bookmarkEnd w:id="537"/>
    </w:p>
    <w:p>
      <w:pPr>
        <w:pStyle w:val="19"/>
        <w:snapToGrid w:val="0"/>
        <w:spacing w:after="0" w:line="400" w:lineRule="atLeast"/>
        <w:ind w:left="660" w:leftChars="0" w:hanging="660" w:hangingChars="275"/>
        <w:rPr>
          <w:sz w:val="24"/>
        </w:rPr>
      </w:pPr>
      <w:r>
        <w:rPr>
          <w:rFonts w:eastAsia="黑体"/>
          <w:sz w:val="24"/>
        </w:rPr>
        <w:t>说明：</w:t>
      </w:r>
      <w:r>
        <w:rPr>
          <w:rFonts w:hint="eastAsia" w:ascii="楷体_GB2312" w:eastAsia="楷体_GB2312"/>
          <w:sz w:val="24"/>
        </w:rPr>
        <w:t>本数据表是项目专用合同条款中适用于本项目的信息和数据的归纳与提示，是项目专用合同条款的组成部分。第九章“投标文件格式”的投标函附录中的数据（供投标人确认）与本表所列有重复。编写招标文件的单位应仔细校核，不使数据出现差错或不一致。</w:t>
      </w:r>
    </w:p>
    <w:p>
      <w:pPr>
        <w:pStyle w:val="19"/>
        <w:snapToGrid w:val="0"/>
        <w:spacing w:after="0" w:line="400" w:lineRule="atLeast"/>
        <w:ind w:left="660" w:leftChars="0" w:hanging="660" w:hangingChars="275"/>
        <w:rPr>
          <w:sz w:val="24"/>
        </w:rPr>
      </w:pPr>
    </w:p>
    <w:tbl>
      <w:tblPr>
        <w:tblStyle w:val="49"/>
        <w:tblW w:w="50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1196"/>
        <w:gridCol w:w="7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48" w:type="pct"/>
            <w:vAlign w:val="center"/>
          </w:tcPr>
          <w:p>
            <w:pPr>
              <w:snapToGrid w:val="0"/>
              <w:spacing w:before="100" w:beforeAutospacing="1" w:line="360" w:lineRule="atLeast"/>
              <w:ind w:left="-105" w:leftChars="-50" w:right="-105" w:rightChars="-50"/>
              <w:jc w:val="center"/>
              <w:rPr>
                <w:b/>
                <w:szCs w:val="21"/>
              </w:rPr>
            </w:pPr>
            <w:r>
              <w:rPr>
                <w:b/>
                <w:szCs w:val="21"/>
              </w:rPr>
              <w:t>序号</w:t>
            </w:r>
          </w:p>
        </w:tc>
        <w:tc>
          <w:tcPr>
            <w:tcW w:w="614" w:type="pct"/>
            <w:vAlign w:val="center"/>
          </w:tcPr>
          <w:p>
            <w:pPr>
              <w:snapToGrid w:val="0"/>
              <w:spacing w:line="360" w:lineRule="atLeast"/>
              <w:ind w:left="-105" w:leftChars="-50" w:right="-105" w:rightChars="-50"/>
              <w:jc w:val="center"/>
              <w:rPr>
                <w:b/>
                <w:szCs w:val="21"/>
              </w:rPr>
            </w:pPr>
            <w:r>
              <w:rPr>
                <w:b/>
                <w:szCs w:val="21"/>
              </w:rPr>
              <w:t>条目号</w:t>
            </w:r>
          </w:p>
        </w:tc>
        <w:tc>
          <w:tcPr>
            <w:tcW w:w="4038" w:type="pct"/>
            <w:vAlign w:val="center"/>
          </w:tcPr>
          <w:p>
            <w:pPr>
              <w:snapToGrid w:val="0"/>
              <w:spacing w:line="360" w:lineRule="atLeast"/>
              <w:jc w:val="center"/>
              <w:rPr>
                <w:b/>
                <w:szCs w:val="21"/>
              </w:rPr>
            </w:pPr>
            <w:r>
              <w:rPr>
                <w:b/>
                <w:szCs w:val="21"/>
              </w:rPr>
              <w:t>信息或数据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1</w:t>
            </w:r>
          </w:p>
        </w:tc>
        <w:tc>
          <w:tcPr>
            <w:tcW w:w="614" w:type="pct"/>
            <w:vAlign w:val="center"/>
          </w:tcPr>
          <w:p>
            <w:pPr>
              <w:snapToGrid w:val="0"/>
              <w:spacing w:line="360" w:lineRule="atLeast"/>
              <w:jc w:val="center"/>
              <w:rPr>
                <w:szCs w:val="21"/>
              </w:rPr>
            </w:pPr>
            <w:r>
              <w:rPr>
                <w:szCs w:val="21"/>
              </w:rPr>
              <w:t>1.1.2.2</w:t>
            </w:r>
          </w:p>
        </w:tc>
        <w:tc>
          <w:tcPr>
            <w:tcW w:w="4038" w:type="pct"/>
            <w:vAlign w:val="center"/>
          </w:tcPr>
          <w:p>
            <w:pPr>
              <w:snapToGrid w:val="0"/>
              <w:spacing w:line="360" w:lineRule="atLeast"/>
              <w:ind w:firstLine="239" w:firstLineChars="114"/>
              <w:rPr>
                <w:szCs w:val="21"/>
              </w:rPr>
            </w:pPr>
            <w:r>
              <w:rPr>
                <w:szCs w:val="21"/>
              </w:rPr>
              <w:t>发 包 人：</w:t>
            </w:r>
          </w:p>
          <w:p>
            <w:pPr>
              <w:snapToGrid w:val="0"/>
              <w:spacing w:line="360" w:lineRule="atLeast"/>
              <w:ind w:firstLine="239" w:firstLineChars="114"/>
              <w:rPr>
                <w:szCs w:val="21"/>
              </w:rPr>
            </w:pPr>
            <w:r>
              <w:rPr>
                <w:szCs w:val="21"/>
              </w:rPr>
              <w:t>地    址：                   邮政编码：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2</w:t>
            </w:r>
          </w:p>
        </w:tc>
        <w:tc>
          <w:tcPr>
            <w:tcW w:w="614" w:type="pct"/>
            <w:vAlign w:val="center"/>
          </w:tcPr>
          <w:p>
            <w:pPr>
              <w:snapToGrid w:val="0"/>
              <w:spacing w:line="360" w:lineRule="atLeast"/>
              <w:jc w:val="center"/>
              <w:rPr>
                <w:szCs w:val="21"/>
              </w:rPr>
            </w:pPr>
            <w:r>
              <w:rPr>
                <w:szCs w:val="21"/>
              </w:rPr>
              <w:t>1.1.2.6</w:t>
            </w:r>
          </w:p>
        </w:tc>
        <w:tc>
          <w:tcPr>
            <w:tcW w:w="4038" w:type="pct"/>
            <w:vAlign w:val="center"/>
          </w:tcPr>
          <w:p>
            <w:pPr>
              <w:snapToGrid w:val="0"/>
              <w:spacing w:line="360" w:lineRule="atLeast"/>
              <w:ind w:firstLine="239" w:firstLineChars="114"/>
              <w:rPr>
                <w:szCs w:val="21"/>
              </w:rPr>
            </w:pPr>
            <w:r>
              <w:rPr>
                <w:szCs w:val="21"/>
              </w:rPr>
              <w:t xml:space="preserve">监 理 人：              </w:t>
            </w:r>
          </w:p>
          <w:p>
            <w:pPr>
              <w:snapToGrid w:val="0"/>
              <w:spacing w:line="360" w:lineRule="atLeast"/>
              <w:ind w:firstLine="239" w:firstLineChars="114"/>
              <w:rPr>
                <w:szCs w:val="21"/>
              </w:rPr>
            </w:pPr>
            <w:r>
              <w:rPr>
                <w:szCs w:val="21"/>
              </w:rPr>
              <w:t xml:space="preserve">地    址：                   邮政编码：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3</w:t>
            </w:r>
          </w:p>
        </w:tc>
        <w:tc>
          <w:tcPr>
            <w:tcW w:w="614" w:type="pct"/>
            <w:vAlign w:val="center"/>
          </w:tcPr>
          <w:p>
            <w:pPr>
              <w:snapToGrid w:val="0"/>
              <w:spacing w:line="360" w:lineRule="atLeast"/>
              <w:jc w:val="center"/>
              <w:rPr>
                <w:szCs w:val="21"/>
              </w:rPr>
            </w:pPr>
            <w:r>
              <w:rPr>
                <w:szCs w:val="21"/>
              </w:rPr>
              <w:t>1.1.4.5</w:t>
            </w:r>
          </w:p>
        </w:tc>
        <w:tc>
          <w:tcPr>
            <w:tcW w:w="4038" w:type="pct"/>
            <w:vAlign w:val="center"/>
          </w:tcPr>
          <w:p>
            <w:pPr>
              <w:snapToGrid w:val="0"/>
              <w:spacing w:line="360" w:lineRule="atLeast"/>
              <w:ind w:firstLine="239" w:firstLineChars="114"/>
              <w:rPr>
                <w:szCs w:val="21"/>
              </w:rPr>
            </w:pPr>
            <w:r>
              <w:rPr>
                <w:szCs w:val="21"/>
              </w:rPr>
              <w:t>缺陷责任期：自实际交工日期起计算</w:t>
            </w:r>
            <w:r>
              <w:rPr>
                <w:szCs w:val="21"/>
                <w:u w:val="single"/>
              </w:rPr>
              <w:t xml:space="preserve">   </w:t>
            </w:r>
            <w:r>
              <w:rPr>
                <w:szCs w:val="21"/>
              </w:rPr>
              <w:t>年</w:t>
            </w:r>
            <w:r>
              <w:rPr>
                <w:rStyle w:val="59"/>
                <w:szCs w:val="21"/>
              </w:rPr>
              <w:footnoteReference w:id="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4</w:t>
            </w:r>
          </w:p>
        </w:tc>
        <w:tc>
          <w:tcPr>
            <w:tcW w:w="614" w:type="pct"/>
            <w:vAlign w:val="center"/>
          </w:tcPr>
          <w:p>
            <w:pPr>
              <w:snapToGrid w:val="0"/>
              <w:spacing w:line="360" w:lineRule="atLeast"/>
              <w:jc w:val="center"/>
              <w:rPr>
                <w:szCs w:val="21"/>
              </w:rPr>
            </w:pPr>
            <w:r>
              <w:rPr>
                <w:szCs w:val="21"/>
              </w:rPr>
              <w:t>1.6.3</w:t>
            </w:r>
          </w:p>
        </w:tc>
        <w:tc>
          <w:tcPr>
            <w:tcW w:w="4038" w:type="pct"/>
            <w:vAlign w:val="center"/>
          </w:tcPr>
          <w:p>
            <w:pPr>
              <w:snapToGrid w:val="0"/>
              <w:spacing w:line="360" w:lineRule="atLeast"/>
              <w:ind w:firstLine="239" w:firstLineChars="114"/>
              <w:rPr>
                <w:szCs w:val="21"/>
              </w:rPr>
            </w:pPr>
            <w:r>
              <w:rPr>
                <w:szCs w:val="21"/>
              </w:rPr>
              <w:t>图纸需要修改和补充的，应由监理人取得发包人同意后，在该工程或工程相应部位施工前</w:t>
            </w:r>
            <w:r>
              <w:rPr>
                <w:szCs w:val="21"/>
                <w:u w:val="single"/>
              </w:rPr>
              <w:t xml:space="preserve">     </w:t>
            </w:r>
            <w:r>
              <w:rPr>
                <w:szCs w:val="21"/>
              </w:rPr>
              <w:t>天签发图纸修改图给承包人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5</w:t>
            </w:r>
          </w:p>
        </w:tc>
        <w:tc>
          <w:tcPr>
            <w:tcW w:w="614" w:type="pct"/>
            <w:vAlign w:val="center"/>
          </w:tcPr>
          <w:p>
            <w:pPr>
              <w:snapToGrid w:val="0"/>
              <w:spacing w:line="360" w:lineRule="atLeast"/>
              <w:jc w:val="center"/>
              <w:rPr>
                <w:szCs w:val="21"/>
              </w:rPr>
            </w:pPr>
            <w:r>
              <w:rPr>
                <w:szCs w:val="21"/>
              </w:rPr>
              <w:t>3.1.1</w:t>
            </w:r>
          </w:p>
        </w:tc>
        <w:tc>
          <w:tcPr>
            <w:tcW w:w="4038" w:type="pct"/>
            <w:vAlign w:val="center"/>
          </w:tcPr>
          <w:p>
            <w:pPr>
              <w:spacing w:line="360" w:lineRule="atLeast"/>
              <w:ind w:firstLine="239" w:firstLineChars="114"/>
              <w:rPr>
                <w:szCs w:val="21"/>
              </w:rPr>
            </w:pPr>
            <w:r>
              <w:rPr>
                <w:szCs w:val="21"/>
              </w:rPr>
              <w:t>监理人在行使下列权力前需要经发包人事先批准：</w:t>
            </w:r>
          </w:p>
          <w:p>
            <w:pPr>
              <w:snapToGrid w:val="0"/>
              <w:spacing w:line="360" w:lineRule="atLeast"/>
              <w:ind w:firstLine="225" w:firstLineChars="114"/>
              <w:rPr>
                <w:spacing w:val="-6"/>
                <w:szCs w:val="21"/>
              </w:rPr>
            </w:pPr>
            <w:r>
              <w:rPr>
                <w:spacing w:val="-6"/>
                <w:szCs w:val="21"/>
              </w:rPr>
              <w:t>（6）根据第15.3款发出的变更指示，其单项工程变更涉及的金额超过了该单项工程签约时合同价的</w:t>
            </w:r>
            <w:r>
              <w:rPr>
                <w:spacing w:val="-6"/>
                <w:szCs w:val="21"/>
                <w:u w:val="single"/>
              </w:rPr>
              <w:t xml:space="preserve">  </w:t>
            </w:r>
            <w:r>
              <w:rPr>
                <w:spacing w:val="-6"/>
                <w:szCs w:val="21"/>
              </w:rPr>
              <w:t>%或累计变更超过了签约合同价的</w:t>
            </w:r>
            <w:r>
              <w:rPr>
                <w:spacing w:val="-6"/>
                <w:szCs w:val="21"/>
                <w:u w:val="single"/>
              </w:rPr>
              <w:t xml:space="preserve">  </w:t>
            </w:r>
            <w:r>
              <w:rPr>
                <w:spacing w:val="-6"/>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48" w:type="pct"/>
            <w:vAlign w:val="center"/>
          </w:tcPr>
          <w:p>
            <w:pPr>
              <w:snapToGrid w:val="0"/>
              <w:spacing w:line="360" w:lineRule="atLeast"/>
              <w:jc w:val="center"/>
              <w:rPr>
                <w:szCs w:val="21"/>
              </w:rPr>
            </w:pPr>
            <w:r>
              <w:rPr>
                <w:szCs w:val="21"/>
              </w:rPr>
              <w:t>6</w:t>
            </w:r>
          </w:p>
        </w:tc>
        <w:tc>
          <w:tcPr>
            <w:tcW w:w="614" w:type="pct"/>
            <w:vAlign w:val="center"/>
          </w:tcPr>
          <w:p>
            <w:pPr>
              <w:snapToGrid w:val="0"/>
              <w:spacing w:line="360" w:lineRule="atLeast"/>
              <w:jc w:val="center"/>
              <w:rPr>
                <w:szCs w:val="21"/>
              </w:rPr>
            </w:pPr>
            <w:r>
              <w:rPr>
                <w:szCs w:val="21"/>
              </w:rPr>
              <w:t>5.2.1</w:t>
            </w:r>
          </w:p>
        </w:tc>
        <w:tc>
          <w:tcPr>
            <w:tcW w:w="4038" w:type="pct"/>
            <w:tcBorders>
              <w:bottom w:val="single" w:color="auto" w:sz="4" w:space="0"/>
            </w:tcBorders>
            <w:vAlign w:val="center"/>
          </w:tcPr>
          <w:p>
            <w:pPr>
              <w:spacing w:line="360" w:lineRule="atLeast"/>
              <w:ind w:firstLine="239" w:firstLineChars="114"/>
              <w:rPr>
                <w:szCs w:val="21"/>
              </w:rPr>
            </w:pPr>
            <w:r>
              <w:rPr>
                <w:szCs w:val="21"/>
              </w:rPr>
              <w:t>发包人是否提供材料或工程设备：</w:t>
            </w:r>
            <w:r>
              <w:rPr>
                <w:szCs w:val="21"/>
                <w:u w:val="single"/>
              </w:rPr>
              <w:t xml:space="preserve"> 是或否  </w:t>
            </w:r>
          </w:p>
          <w:p>
            <w:pPr>
              <w:spacing w:line="360" w:lineRule="atLeast"/>
              <w:ind w:firstLine="239" w:firstLineChars="114"/>
              <w:rPr>
                <w:szCs w:val="21"/>
                <w:u w:val="single"/>
              </w:rPr>
            </w:pPr>
            <w:r>
              <w:rPr>
                <w:szCs w:val="21"/>
              </w:rPr>
              <w:t>如发包人负责提供部分材料或工程设备，相关规定如下：</w:t>
            </w:r>
            <w:r>
              <w:rPr>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48" w:type="pct"/>
            <w:vAlign w:val="center"/>
          </w:tcPr>
          <w:p>
            <w:pPr>
              <w:snapToGrid w:val="0"/>
              <w:spacing w:line="360" w:lineRule="atLeast"/>
              <w:jc w:val="center"/>
              <w:rPr>
                <w:szCs w:val="21"/>
              </w:rPr>
            </w:pPr>
            <w:r>
              <w:rPr>
                <w:szCs w:val="21"/>
              </w:rPr>
              <w:t>7</w:t>
            </w:r>
          </w:p>
        </w:tc>
        <w:tc>
          <w:tcPr>
            <w:tcW w:w="614" w:type="pct"/>
            <w:vAlign w:val="center"/>
          </w:tcPr>
          <w:p>
            <w:pPr>
              <w:snapToGrid w:val="0"/>
              <w:spacing w:line="360" w:lineRule="atLeast"/>
              <w:jc w:val="center"/>
              <w:rPr>
                <w:szCs w:val="21"/>
              </w:rPr>
            </w:pPr>
            <w:r>
              <w:rPr>
                <w:szCs w:val="21"/>
              </w:rPr>
              <w:t>6.2</w:t>
            </w:r>
          </w:p>
        </w:tc>
        <w:tc>
          <w:tcPr>
            <w:tcW w:w="4038" w:type="pct"/>
            <w:tcBorders>
              <w:bottom w:val="single" w:color="auto" w:sz="4" w:space="0"/>
            </w:tcBorders>
            <w:vAlign w:val="center"/>
          </w:tcPr>
          <w:p>
            <w:pPr>
              <w:spacing w:line="360" w:lineRule="atLeast"/>
              <w:ind w:firstLine="239" w:firstLineChars="114"/>
              <w:rPr>
                <w:szCs w:val="21"/>
              </w:rPr>
            </w:pPr>
            <w:r>
              <w:rPr>
                <w:szCs w:val="21"/>
              </w:rPr>
              <w:t>发包人是否提供施工设备和临时设施：</w:t>
            </w:r>
            <w:r>
              <w:rPr>
                <w:szCs w:val="21"/>
                <w:u w:val="single"/>
              </w:rPr>
              <w:t xml:space="preserve"> 是或否  </w:t>
            </w:r>
          </w:p>
          <w:p>
            <w:pPr>
              <w:spacing w:line="360" w:lineRule="atLeast"/>
              <w:ind w:firstLine="239" w:firstLineChars="114"/>
              <w:rPr>
                <w:szCs w:val="21"/>
                <w:u w:val="single"/>
              </w:rPr>
            </w:pPr>
            <w:r>
              <w:rPr>
                <w:szCs w:val="21"/>
              </w:rPr>
              <w:t>如发包人负责提供部分施工设备和临时设施，相关规定如下：</w:t>
            </w:r>
            <w:r>
              <w:rPr>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48" w:type="pct"/>
            <w:vAlign w:val="center"/>
          </w:tcPr>
          <w:p>
            <w:pPr>
              <w:snapToGrid w:val="0"/>
              <w:spacing w:line="360" w:lineRule="atLeast"/>
              <w:jc w:val="center"/>
              <w:rPr>
                <w:szCs w:val="21"/>
              </w:rPr>
            </w:pPr>
            <w:r>
              <w:rPr>
                <w:szCs w:val="21"/>
              </w:rPr>
              <w:t>8</w:t>
            </w:r>
          </w:p>
        </w:tc>
        <w:tc>
          <w:tcPr>
            <w:tcW w:w="614" w:type="pct"/>
            <w:vAlign w:val="center"/>
          </w:tcPr>
          <w:p>
            <w:pPr>
              <w:snapToGrid w:val="0"/>
              <w:spacing w:line="360" w:lineRule="atLeast"/>
              <w:jc w:val="center"/>
              <w:rPr>
                <w:szCs w:val="21"/>
              </w:rPr>
            </w:pPr>
            <w:r>
              <w:rPr>
                <w:szCs w:val="21"/>
              </w:rPr>
              <w:t>8.1.1</w:t>
            </w:r>
          </w:p>
        </w:tc>
        <w:tc>
          <w:tcPr>
            <w:tcW w:w="4038" w:type="pct"/>
            <w:tcBorders>
              <w:bottom w:val="single" w:color="auto" w:sz="4" w:space="0"/>
            </w:tcBorders>
            <w:vAlign w:val="center"/>
          </w:tcPr>
          <w:p>
            <w:pPr>
              <w:spacing w:line="360" w:lineRule="atLeast"/>
              <w:ind w:firstLine="239" w:firstLineChars="114"/>
              <w:rPr>
                <w:szCs w:val="21"/>
              </w:rPr>
            </w:pPr>
            <w:r>
              <w:rPr>
                <w:szCs w:val="21"/>
              </w:rPr>
              <w:t>发包人提供测量基准点、基准线和水准点及其书面资料的期限：</w:t>
            </w:r>
            <w:r>
              <w:rPr>
                <w:szCs w:val="21"/>
                <w:u w:val="single"/>
              </w:rPr>
              <w:t xml:space="preserve">              </w:t>
            </w:r>
          </w:p>
          <w:p>
            <w:pPr>
              <w:spacing w:line="360" w:lineRule="atLeast"/>
              <w:ind w:firstLine="239" w:firstLineChars="114"/>
              <w:rPr>
                <w:szCs w:val="21"/>
                <w:u w:val="single"/>
              </w:rPr>
            </w:pPr>
            <w:r>
              <w:rPr>
                <w:szCs w:val="21"/>
              </w:rPr>
              <w:t>承包人将施工控制网资料报送监理人审批的期限：</w:t>
            </w:r>
            <w:r>
              <w:rPr>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9</w:t>
            </w:r>
          </w:p>
        </w:tc>
        <w:tc>
          <w:tcPr>
            <w:tcW w:w="614" w:type="pct"/>
            <w:vAlign w:val="center"/>
          </w:tcPr>
          <w:p>
            <w:pPr>
              <w:snapToGrid w:val="0"/>
              <w:spacing w:line="360" w:lineRule="atLeast"/>
              <w:jc w:val="center"/>
              <w:rPr>
                <w:szCs w:val="21"/>
              </w:rPr>
            </w:pPr>
            <w:r>
              <w:rPr>
                <w:szCs w:val="21"/>
              </w:rPr>
              <w:t>11.5</w:t>
            </w:r>
            <w:r>
              <w:rPr>
                <w:rFonts w:hint="eastAsia"/>
                <w:szCs w:val="21"/>
              </w:rPr>
              <w:t>（3）</w:t>
            </w:r>
          </w:p>
        </w:tc>
        <w:tc>
          <w:tcPr>
            <w:tcW w:w="4038" w:type="pct"/>
            <w:vAlign w:val="center"/>
          </w:tcPr>
          <w:p>
            <w:pPr>
              <w:snapToGrid w:val="0"/>
              <w:spacing w:line="360" w:lineRule="atLeast"/>
              <w:ind w:firstLine="239" w:firstLineChars="114"/>
              <w:rPr>
                <w:szCs w:val="21"/>
              </w:rPr>
            </w:pPr>
            <w:r>
              <w:rPr>
                <w:szCs w:val="21"/>
              </w:rPr>
              <w:t>逾期交工违约金：</w:t>
            </w:r>
            <w:r>
              <w:rPr>
                <w:szCs w:val="21"/>
                <w:u w:val="single"/>
              </w:rPr>
              <w:t xml:space="preserve">    </w:t>
            </w:r>
            <w:r>
              <w:rPr>
                <w:szCs w:val="21"/>
              </w:rPr>
              <w:t>元/天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10</w:t>
            </w:r>
          </w:p>
        </w:tc>
        <w:tc>
          <w:tcPr>
            <w:tcW w:w="614" w:type="pct"/>
            <w:vAlign w:val="center"/>
          </w:tcPr>
          <w:p>
            <w:pPr>
              <w:snapToGrid w:val="0"/>
              <w:spacing w:line="360" w:lineRule="atLeast"/>
              <w:jc w:val="center"/>
              <w:rPr>
                <w:szCs w:val="21"/>
              </w:rPr>
            </w:pPr>
            <w:r>
              <w:rPr>
                <w:szCs w:val="21"/>
              </w:rPr>
              <w:t>11.5</w:t>
            </w:r>
            <w:r>
              <w:rPr>
                <w:rFonts w:hint="eastAsia"/>
                <w:szCs w:val="21"/>
              </w:rPr>
              <w:t>（3）</w:t>
            </w:r>
          </w:p>
        </w:tc>
        <w:tc>
          <w:tcPr>
            <w:tcW w:w="4038" w:type="pct"/>
            <w:vAlign w:val="center"/>
          </w:tcPr>
          <w:p>
            <w:pPr>
              <w:snapToGrid w:val="0"/>
              <w:spacing w:line="360" w:lineRule="atLeast"/>
              <w:ind w:firstLine="239" w:firstLineChars="114"/>
              <w:rPr>
                <w:szCs w:val="21"/>
              </w:rPr>
            </w:pPr>
            <w:r>
              <w:rPr>
                <w:szCs w:val="21"/>
              </w:rPr>
              <w:t>逾期交工违约金限额：</w:t>
            </w:r>
            <w:r>
              <w:rPr>
                <w:szCs w:val="21"/>
                <w:u w:val="single"/>
              </w:rPr>
              <w:t xml:space="preserve">    </w:t>
            </w:r>
            <w:r>
              <w:rPr>
                <w:szCs w:val="21"/>
              </w:rPr>
              <w:t>%签约合同价</w:t>
            </w:r>
            <w:r>
              <w:rPr>
                <w:rStyle w:val="59"/>
                <w:szCs w:val="21"/>
              </w:rPr>
              <w:footnoteReference w:id="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11</w:t>
            </w:r>
          </w:p>
        </w:tc>
        <w:tc>
          <w:tcPr>
            <w:tcW w:w="614" w:type="pct"/>
            <w:vAlign w:val="center"/>
          </w:tcPr>
          <w:p>
            <w:pPr>
              <w:snapToGrid w:val="0"/>
              <w:spacing w:line="360" w:lineRule="atLeast"/>
              <w:jc w:val="center"/>
              <w:rPr>
                <w:szCs w:val="21"/>
              </w:rPr>
            </w:pPr>
            <w:r>
              <w:rPr>
                <w:szCs w:val="21"/>
              </w:rPr>
              <w:t>11.6</w:t>
            </w:r>
          </w:p>
        </w:tc>
        <w:tc>
          <w:tcPr>
            <w:tcW w:w="4038" w:type="pct"/>
            <w:vAlign w:val="center"/>
          </w:tcPr>
          <w:p>
            <w:pPr>
              <w:snapToGrid w:val="0"/>
              <w:spacing w:line="360" w:lineRule="atLeast"/>
              <w:ind w:firstLine="239" w:firstLineChars="114"/>
              <w:rPr>
                <w:szCs w:val="21"/>
              </w:rPr>
            </w:pPr>
            <w:r>
              <w:rPr>
                <w:szCs w:val="21"/>
              </w:rPr>
              <w:t>提前交工的奖金：</w:t>
            </w:r>
            <w:r>
              <w:rPr>
                <w:szCs w:val="21"/>
                <w:u w:val="single"/>
              </w:rPr>
              <w:t xml:space="preserve">    </w:t>
            </w:r>
            <w:r>
              <w:rPr>
                <w:szCs w:val="21"/>
              </w:rPr>
              <w:t>元/天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12</w:t>
            </w:r>
          </w:p>
        </w:tc>
        <w:tc>
          <w:tcPr>
            <w:tcW w:w="614" w:type="pct"/>
            <w:vAlign w:val="center"/>
          </w:tcPr>
          <w:p>
            <w:pPr>
              <w:snapToGrid w:val="0"/>
              <w:spacing w:line="360" w:lineRule="atLeast"/>
              <w:jc w:val="center"/>
              <w:rPr>
                <w:szCs w:val="21"/>
              </w:rPr>
            </w:pPr>
            <w:r>
              <w:rPr>
                <w:szCs w:val="21"/>
              </w:rPr>
              <w:t>11.6</w:t>
            </w:r>
          </w:p>
        </w:tc>
        <w:tc>
          <w:tcPr>
            <w:tcW w:w="4038" w:type="pct"/>
            <w:vAlign w:val="center"/>
          </w:tcPr>
          <w:p>
            <w:pPr>
              <w:snapToGrid w:val="0"/>
              <w:spacing w:line="360" w:lineRule="atLeast"/>
              <w:ind w:firstLine="239" w:firstLineChars="114"/>
              <w:rPr>
                <w:szCs w:val="21"/>
              </w:rPr>
            </w:pPr>
            <w:r>
              <w:rPr>
                <w:szCs w:val="21"/>
              </w:rPr>
              <w:t>提前交工的奖金限额：</w:t>
            </w:r>
            <w:r>
              <w:rPr>
                <w:szCs w:val="21"/>
                <w:u w:val="single"/>
              </w:rPr>
              <w:t xml:space="preserve">    </w:t>
            </w:r>
            <w:r>
              <w:rPr>
                <w:szCs w:val="21"/>
              </w:rPr>
              <w:t>%签约合同价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13</w:t>
            </w:r>
          </w:p>
        </w:tc>
        <w:tc>
          <w:tcPr>
            <w:tcW w:w="614" w:type="pct"/>
            <w:vAlign w:val="center"/>
          </w:tcPr>
          <w:p>
            <w:pPr>
              <w:snapToGrid w:val="0"/>
              <w:spacing w:line="360" w:lineRule="atLeast"/>
              <w:jc w:val="center"/>
              <w:rPr>
                <w:szCs w:val="21"/>
              </w:rPr>
            </w:pPr>
            <w:r>
              <w:rPr>
                <w:szCs w:val="21"/>
              </w:rPr>
              <w:t>15.5.2</w:t>
            </w:r>
          </w:p>
        </w:tc>
        <w:tc>
          <w:tcPr>
            <w:tcW w:w="4038" w:type="pct"/>
            <w:vAlign w:val="center"/>
          </w:tcPr>
          <w:p>
            <w:pPr>
              <w:snapToGrid w:val="0"/>
              <w:spacing w:line="360" w:lineRule="atLeast"/>
              <w:ind w:firstLine="239" w:firstLineChars="114"/>
              <w:rPr>
                <w:szCs w:val="21"/>
              </w:rPr>
            </w:pPr>
            <w:r>
              <w:rPr>
                <w:szCs w:val="21"/>
              </w:rPr>
              <w:t>承包人提出的合理化建议降低了合同价格或者提高了工程经济效益的，发包人按所节约成本的</w:t>
            </w:r>
            <w:r>
              <w:rPr>
                <w:szCs w:val="21"/>
                <w:u w:val="single"/>
              </w:rPr>
              <w:t xml:space="preserve">    </w:t>
            </w:r>
            <w:r>
              <w:rPr>
                <w:szCs w:val="21"/>
              </w:rPr>
              <w:t>%或增加收益的</w:t>
            </w:r>
            <w:r>
              <w:rPr>
                <w:szCs w:val="21"/>
                <w:u w:val="single"/>
              </w:rPr>
              <w:t xml:space="preserve">    </w:t>
            </w:r>
            <w:r>
              <w:rPr>
                <w:szCs w:val="21"/>
              </w:rPr>
              <w:t>%给予奖励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14</w:t>
            </w:r>
          </w:p>
        </w:tc>
        <w:tc>
          <w:tcPr>
            <w:tcW w:w="614" w:type="pct"/>
            <w:vAlign w:val="center"/>
          </w:tcPr>
          <w:p>
            <w:pPr>
              <w:snapToGrid w:val="0"/>
              <w:spacing w:line="360" w:lineRule="atLeast"/>
              <w:jc w:val="center"/>
              <w:rPr>
                <w:szCs w:val="21"/>
              </w:rPr>
            </w:pPr>
            <w:r>
              <w:rPr>
                <w:szCs w:val="21"/>
              </w:rPr>
              <w:t>16.1</w:t>
            </w:r>
          </w:p>
        </w:tc>
        <w:tc>
          <w:tcPr>
            <w:tcW w:w="4038" w:type="pct"/>
            <w:vAlign w:val="center"/>
          </w:tcPr>
          <w:p>
            <w:pPr>
              <w:snapToGrid w:val="0"/>
              <w:spacing w:line="360" w:lineRule="atLeast"/>
              <w:ind w:firstLine="364" w:firstLineChars="114"/>
              <w:rPr>
                <w:szCs w:val="21"/>
              </w:rPr>
            </w:pPr>
            <w:r>
              <w:rPr>
                <w:sz w:val="32"/>
              </w:rPr>
              <w:t>□</w:t>
            </w:r>
            <w:r>
              <w:rPr>
                <w:szCs w:val="21"/>
              </w:rPr>
              <w:t>因物价波动引起的价格调整按照</w:t>
            </w:r>
            <w:r>
              <w:rPr>
                <w:szCs w:val="21"/>
                <w:u w:val="single"/>
              </w:rPr>
              <w:t xml:space="preserve"> 第16.1.1项或第16.1.2项 </w:t>
            </w:r>
            <w:r>
              <w:rPr>
                <w:szCs w:val="21"/>
              </w:rPr>
              <w:t>约定的原则处理</w:t>
            </w:r>
          </w:p>
          <w:p>
            <w:pPr>
              <w:spacing w:line="360" w:lineRule="atLeast"/>
              <w:ind w:firstLine="239" w:firstLineChars="114"/>
              <w:rPr>
                <w:szCs w:val="21"/>
              </w:rPr>
            </w:pPr>
            <w:r>
              <w:rPr>
                <w:szCs w:val="21"/>
              </w:rPr>
              <w:t>若按第16.1.1项的约定采用价格调整公式进行调价，</w:t>
            </w:r>
            <w:r>
              <w:rPr>
                <w:szCs w:val="21"/>
                <w:u w:val="single"/>
              </w:rPr>
              <w:t>每半年或一年</w:t>
            </w:r>
            <w:r>
              <w:rPr>
                <w:szCs w:val="21"/>
              </w:rPr>
              <w:t>按价格调整公式进行一次调整</w:t>
            </w:r>
          </w:p>
          <w:p>
            <w:pPr>
              <w:pStyle w:val="32"/>
              <w:tabs>
                <w:tab w:val="clear" w:pos="4153"/>
                <w:tab w:val="clear" w:pos="8306"/>
              </w:tabs>
              <w:spacing w:line="360" w:lineRule="atLeast"/>
              <w:ind w:firstLine="364" w:firstLineChars="114"/>
              <w:rPr>
                <w:sz w:val="21"/>
                <w:szCs w:val="21"/>
              </w:rPr>
            </w:pPr>
            <w:r>
              <w:rPr>
                <w:sz w:val="32"/>
              </w:rPr>
              <w:t>□</w:t>
            </w:r>
            <w:r>
              <w:rPr>
                <w:sz w:val="21"/>
                <w:szCs w:val="21"/>
              </w:rPr>
              <w:t>合同期内不调价</w:t>
            </w:r>
            <w:r>
              <w:rPr>
                <w:rStyle w:val="59"/>
                <w:sz w:val="21"/>
                <w:szCs w:val="21"/>
              </w:rPr>
              <w:footnoteReference w:id="4"/>
            </w:r>
            <w:r>
              <w:rPr>
                <w:rStyle w:val="59"/>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15</w:t>
            </w:r>
          </w:p>
        </w:tc>
        <w:tc>
          <w:tcPr>
            <w:tcW w:w="614" w:type="pct"/>
            <w:vAlign w:val="center"/>
          </w:tcPr>
          <w:p>
            <w:pPr>
              <w:snapToGrid w:val="0"/>
              <w:spacing w:line="360" w:lineRule="atLeast"/>
              <w:jc w:val="center"/>
              <w:rPr>
                <w:szCs w:val="21"/>
              </w:rPr>
            </w:pPr>
            <w:r>
              <w:rPr>
                <w:szCs w:val="21"/>
              </w:rPr>
              <w:t>17.2.1</w:t>
            </w:r>
            <w:r>
              <w:rPr>
                <w:rFonts w:hint="eastAsia"/>
                <w:szCs w:val="21"/>
              </w:rPr>
              <w:t>（1）</w:t>
            </w:r>
          </w:p>
        </w:tc>
        <w:tc>
          <w:tcPr>
            <w:tcW w:w="4038" w:type="pct"/>
            <w:vAlign w:val="center"/>
          </w:tcPr>
          <w:p>
            <w:pPr>
              <w:snapToGrid w:val="0"/>
              <w:spacing w:line="360" w:lineRule="atLeast"/>
              <w:ind w:firstLine="239" w:firstLineChars="114"/>
              <w:rPr>
                <w:szCs w:val="21"/>
              </w:rPr>
            </w:pPr>
            <w:r>
              <w:rPr>
                <w:szCs w:val="21"/>
              </w:rPr>
              <w:t>开工预付款金额：</w:t>
            </w:r>
            <w:r>
              <w:rPr>
                <w:szCs w:val="21"/>
                <w:u w:val="single"/>
              </w:rPr>
              <w:t xml:space="preserve">  </w:t>
            </w:r>
            <w:r>
              <w:rPr>
                <w:szCs w:val="21"/>
              </w:rPr>
              <w:t>%签约合同价</w:t>
            </w:r>
            <w:r>
              <w:rPr>
                <w:rStyle w:val="59"/>
                <w:szCs w:val="21"/>
              </w:rPr>
              <w:footnoteReference w:id="5"/>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16</w:t>
            </w:r>
          </w:p>
        </w:tc>
        <w:tc>
          <w:tcPr>
            <w:tcW w:w="614" w:type="pct"/>
            <w:vAlign w:val="center"/>
          </w:tcPr>
          <w:p>
            <w:pPr>
              <w:snapToGrid w:val="0"/>
              <w:spacing w:line="360" w:lineRule="atLeast"/>
              <w:jc w:val="center"/>
              <w:rPr>
                <w:szCs w:val="21"/>
              </w:rPr>
            </w:pPr>
            <w:r>
              <w:rPr>
                <w:szCs w:val="21"/>
              </w:rPr>
              <w:t>17.2.1</w:t>
            </w:r>
            <w:r>
              <w:rPr>
                <w:rFonts w:hint="eastAsia"/>
                <w:szCs w:val="21"/>
              </w:rPr>
              <w:t>（2）</w:t>
            </w:r>
          </w:p>
        </w:tc>
        <w:tc>
          <w:tcPr>
            <w:tcW w:w="4038" w:type="pct"/>
            <w:vAlign w:val="center"/>
          </w:tcPr>
          <w:p>
            <w:pPr>
              <w:snapToGrid w:val="0"/>
              <w:spacing w:line="360" w:lineRule="atLeast"/>
              <w:ind w:firstLine="239" w:firstLineChars="114"/>
              <w:rPr>
                <w:szCs w:val="21"/>
              </w:rPr>
            </w:pPr>
            <w:r>
              <w:rPr>
                <w:szCs w:val="21"/>
              </w:rPr>
              <w:t>材料、设备预付款比例：</w:t>
            </w:r>
            <w:r>
              <w:rPr>
                <w:szCs w:val="21"/>
                <w:u w:val="single"/>
              </w:rPr>
              <w:t xml:space="preserve">   </w:t>
            </w:r>
            <w:r>
              <w:rPr>
                <w:szCs w:val="21"/>
              </w:rPr>
              <w:t>等主要材料、设备单据所列费用的</w:t>
            </w:r>
            <w:r>
              <w:rPr>
                <w:szCs w:val="21"/>
                <w:u w:val="single"/>
              </w:rPr>
              <w:t xml:space="preserve">  </w:t>
            </w:r>
            <w:r>
              <w:rPr>
                <w:szCs w:val="21"/>
              </w:rPr>
              <w:t>%</w:t>
            </w:r>
            <w:r>
              <w:rPr>
                <w:rStyle w:val="59"/>
                <w:szCs w:val="21"/>
              </w:rPr>
              <w:t xml:space="preserve"> </w:t>
            </w:r>
            <w:r>
              <w:rPr>
                <w:rStyle w:val="59"/>
                <w:szCs w:val="21"/>
              </w:rPr>
              <w:footnoteReference w:i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17</w:t>
            </w:r>
          </w:p>
        </w:tc>
        <w:tc>
          <w:tcPr>
            <w:tcW w:w="614" w:type="pct"/>
            <w:vAlign w:val="center"/>
          </w:tcPr>
          <w:p>
            <w:pPr>
              <w:snapToGrid w:val="0"/>
              <w:spacing w:line="360" w:lineRule="atLeast"/>
              <w:jc w:val="center"/>
              <w:rPr>
                <w:szCs w:val="21"/>
              </w:rPr>
            </w:pPr>
            <w:r>
              <w:rPr>
                <w:szCs w:val="21"/>
              </w:rPr>
              <w:t>17.3.2</w:t>
            </w:r>
          </w:p>
        </w:tc>
        <w:tc>
          <w:tcPr>
            <w:tcW w:w="4038" w:type="pct"/>
            <w:vAlign w:val="center"/>
          </w:tcPr>
          <w:p>
            <w:pPr>
              <w:snapToGrid w:val="0"/>
              <w:spacing w:line="360" w:lineRule="atLeast"/>
              <w:ind w:firstLine="234" w:firstLineChars="114"/>
              <w:rPr>
                <w:spacing w:val="-2"/>
                <w:szCs w:val="21"/>
              </w:rPr>
            </w:pPr>
            <w:r>
              <w:rPr>
                <w:spacing w:val="-2"/>
                <w:szCs w:val="21"/>
              </w:rPr>
              <w:t>承包人在每个付款周期末向监理人提交进度付款申请单的份数：</w:t>
            </w:r>
            <w:r>
              <w:rPr>
                <w:spacing w:val="-2"/>
                <w:szCs w:val="21"/>
                <w:u w:val="single"/>
              </w:rPr>
              <w:t xml:space="preserve">  </w:t>
            </w:r>
            <w:r>
              <w:rPr>
                <w:spacing w:val="-2"/>
                <w:szCs w:val="21"/>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18</w:t>
            </w:r>
          </w:p>
        </w:tc>
        <w:tc>
          <w:tcPr>
            <w:tcW w:w="614" w:type="pct"/>
            <w:vAlign w:val="center"/>
          </w:tcPr>
          <w:p>
            <w:pPr>
              <w:snapToGrid w:val="0"/>
              <w:spacing w:line="360" w:lineRule="atLeast"/>
              <w:jc w:val="center"/>
              <w:rPr>
                <w:szCs w:val="21"/>
              </w:rPr>
            </w:pPr>
            <w:r>
              <w:rPr>
                <w:szCs w:val="21"/>
              </w:rPr>
              <w:t>17.3.3（1）</w:t>
            </w:r>
          </w:p>
        </w:tc>
        <w:tc>
          <w:tcPr>
            <w:tcW w:w="4038" w:type="pct"/>
            <w:vAlign w:val="center"/>
          </w:tcPr>
          <w:p>
            <w:pPr>
              <w:snapToGrid w:val="0"/>
              <w:spacing w:line="360" w:lineRule="atLeast"/>
              <w:ind w:firstLine="239" w:firstLineChars="114"/>
              <w:rPr>
                <w:szCs w:val="21"/>
              </w:rPr>
            </w:pPr>
            <w:r>
              <w:rPr>
                <w:szCs w:val="21"/>
              </w:rPr>
              <w:t>进度付款证书最低限额：</w:t>
            </w:r>
            <w:r>
              <w:rPr>
                <w:szCs w:val="21"/>
                <w:u w:val="single"/>
              </w:rPr>
              <w:t xml:space="preserve">    </w:t>
            </w:r>
            <w:r>
              <w:rPr>
                <w:szCs w:val="21"/>
              </w:rPr>
              <w:t>%签约合同价或</w:t>
            </w:r>
            <w:r>
              <w:rPr>
                <w:szCs w:val="21"/>
                <w:u w:val="single"/>
              </w:rPr>
              <w:t xml:space="preserve">    </w:t>
            </w:r>
            <w:r>
              <w:rPr>
                <w:szCs w:val="21"/>
              </w:rPr>
              <w:t>万元</w:t>
            </w:r>
            <w:r>
              <w:rPr>
                <w:rStyle w:val="59"/>
                <w:szCs w:val="21"/>
              </w:rPr>
              <w:footnoteReference w:id="7"/>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19</w:t>
            </w:r>
          </w:p>
        </w:tc>
        <w:tc>
          <w:tcPr>
            <w:tcW w:w="614" w:type="pct"/>
            <w:vAlign w:val="center"/>
          </w:tcPr>
          <w:p>
            <w:pPr>
              <w:snapToGrid w:val="0"/>
              <w:spacing w:line="360" w:lineRule="atLeast"/>
              <w:jc w:val="center"/>
              <w:rPr>
                <w:szCs w:val="21"/>
              </w:rPr>
            </w:pPr>
            <w:r>
              <w:rPr>
                <w:szCs w:val="21"/>
              </w:rPr>
              <w:t>17.3.3（2）</w:t>
            </w:r>
          </w:p>
        </w:tc>
        <w:tc>
          <w:tcPr>
            <w:tcW w:w="4038" w:type="pct"/>
            <w:vAlign w:val="center"/>
          </w:tcPr>
          <w:p>
            <w:pPr>
              <w:snapToGrid w:val="0"/>
              <w:spacing w:line="360" w:lineRule="atLeast"/>
              <w:ind w:firstLine="239" w:firstLineChars="114"/>
              <w:rPr>
                <w:szCs w:val="21"/>
                <w:u w:val="single"/>
              </w:rPr>
            </w:pPr>
            <w:r>
              <w:rPr>
                <w:szCs w:val="21"/>
              </w:rPr>
              <w:t>逾期付款违约金的利率：</w:t>
            </w:r>
            <w:r>
              <w:rPr>
                <w:szCs w:val="21"/>
                <w:u w:val="single"/>
              </w:rPr>
              <w:t xml:space="preserve">     </w:t>
            </w:r>
            <w:r>
              <w:rPr>
                <w:szCs w:val="21"/>
              </w:rPr>
              <w:t>‰/天</w:t>
            </w:r>
            <w:r>
              <w:rPr>
                <w:rStyle w:val="59"/>
                <w:szCs w:val="21"/>
              </w:rPr>
              <w:footnoteReference w:id="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rFonts w:hint="eastAsia"/>
                <w:szCs w:val="21"/>
              </w:rPr>
              <w:t>20</w:t>
            </w:r>
          </w:p>
        </w:tc>
        <w:tc>
          <w:tcPr>
            <w:tcW w:w="614" w:type="pct"/>
            <w:vAlign w:val="center"/>
          </w:tcPr>
          <w:p>
            <w:pPr>
              <w:snapToGrid w:val="0"/>
              <w:spacing w:line="360" w:lineRule="atLeast"/>
              <w:jc w:val="center"/>
              <w:rPr>
                <w:szCs w:val="21"/>
              </w:rPr>
            </w:pPr>
            <w:r>
              <w:rPr>
                <w:szCs w:val="21"/>
              </w:rPr>
              <w:t>17.4.1</w:t>
            </w:r>
          </w:p>
        </w:tc>
        <w:tc>
          <w:tcPr>
            <w:tcW w:w="4038" w:type="pct"/>
            <w:vAlign w:val="center"/>
          </w:tcPr>
          <w:p>
            <w:pPr>
              <w:snapToGrid w:val="0"/>
              <w:spacing w:line="360" w:lineRule="atLeast"/>
              <w:ind w:firstLine="239" w:firstLineChars="114"/>
              <w:rPr>
                <w:szCs w:val="21"/>
              </w:rPr>
            </w:pPr>
            <w:r>
              <w:rPr>
                <w:szCs w:val="21"/>
              </w:rPr>
              <w:t>质量保证金</w:t>
            </w:r>
            <w:r>
              <w:rPr>
                <w:rFonts w:hint="eastAsia"/>
                <w:szCs w:val="21"/>
              </w:rPr>
              <w:t>金额</w:t>
            </w:r>
            <w:r>
              <w:rPr>
                <w:szCs w:val="21"/>
              </w:rPr>
              <w:t>：</w:t>
            </w:r>
            <w:r>
              <w:rPr>
                <w:szCs w:val="21"/>
                <w:u w:val="single"/>
              </w:rPr>
              <w:t xml:space="preserve"> </w:t>
            </w:r>
            <w:r>
              <w:rPr>
                <w:rFonts w:hint="eastAsia"/>
                <w:szCs w:val="21"/>
                <w:u w:val="single"/>
              </w:rPr>
              <w:t xml:space="preserve">   </w:t>
            </w:r>
            <w:r>
              <w:rPr>
                <w:szCs w:val="21"/>
                <w:u w:val="single"/>
              </w:rPr>
              <w:t xml:space="preserve"> </w:t>
            </w:r>
            <w:r>
              <w:rPr>
                <w:szCs w:val="21"/>
              </w:rPr>
              <w:t>%合同价格</w:t>
            </w:r>
            <w:r>
              <w:rPr>
                <w:rStyle w:val="59"/>
                <w:szCs w:val="21"/>
              </w:rPr>
              <w:footnoteReference w:id="9"/>
            </w:r>
            <w:r>
              <w:rPr>
                <w:szCs w:val="21"/>
              </w:rPr>
              <w:t>，</w:t>
            </w:r>
            <w:r>
              <w:rPr>
                <w:rFonts w:hint="eastAsia"/>
                <w:szCs w:val="21"/>
              </w:rPr>
              <w:t>若</w:t>
            </w:r>
            <w:r>
              <w:rPr>
                <w:szCs w:val="21"/>
              </w:rPr>
              <w:t>交工验收时</w:t>
            </w:r>
            <w:r>
              <w:rPr>
                <w:rFonts w:hint="eastAsia"/>
                <w:szCs w:val="21"/>
              </w:rPr>
              <w:t>承包人具备</w:t>
            </w:r>
            <w:r>
              <w:rPr>
                <w:szCs w:val="21"/>
              </w:rPr>
              <w:t>被招标项目所在地省级交通运输主管部门评</w:t>
            </w:r>
            <w:r>
              <w:rPr>
                <w:rFonts w:hint="eastAsia"/>
                <w:szCs w:val="21"/>
              </w:rPr>
              <w:t>定的</w:t>
            </w:r>
            <w:r>
              <w:rPr>
                <w:szCs w:val="21"/>
              </w:rPr>
              <w:t>最高信用等级，发包人给予</w:t>
            </w:r>
            <w:r>
              <w:rPr>
                <w:szCs w:val="21"/>
                <w:u w:val="single"/>
              </w:rPr>
              <w:t xml:space="preserve">   </w:t>
            </w:r>
            <w:r>
              <w:rPr>
                <w:szCs w:val="21"/>
              </w:rPr>
              <w:t>%合同价格质量保证金的优惠。</w:t>
            </w:r>
            <w:r>
              <w:rPr>
                <w:rStyle w:val="59"/>
                <w:szCs w:val="21"/>
              </w:rPr>
              <w:footnoteReference w:id="10"/>
            </w:r>
          </w:p>
          <w:p>
            <w:pPr>
              <w:snapToGrid w:val="0"/>
              <w:spacing w:line="360" w:lineRule="atLeast"/>
              <w:ind w:firstLine="239" w:firstLineChars="114"/>
              <w:rPr>
                <w:rFonts w:ascii="宋体 ，Arial" w:hAnsi="宋体" w:eastAsia="宋体 ，Arial" w:cs="宋体"/>
                <w:kern w:val="0"/>
                <w:szCs w:val="21"/>
              </w:rPr>
            </w:pPr>
            <w:r>
              <w:rPr>
                <w:rFonts w:hint="eastAsia"/>
                <w:szCs w:val="21"/>
              </w:rPr>
              <w:t>质量保证金是否</w:t>
            </w:r>
            <w:r>
              <w:rPr>
                <w:rFonts w:hint="eastAsia" w:ascii="宋体 ，Arial" w:hAnsi="宋体" w:eastAsia="宋体 ，Arial" w:cs="宋体"/>
                <w:kern w:val="0"/>
                <w:szCs w:val="21"/>
              </w:rPr>
              <w:t xml:space="preserve">计付利息：   </w:t>
            </w:r>
          </w:p>
          <w:p>
            <w:pPr>
              <w:snapToGrid w:val="0"/>
              <w:spacing w:line="360" w:lineRule="atLeast"/>
              <w:ind w:firstLine="364" w:firstLineChars="114"/>
              <w:rPr>
                <w:rFonts w:ascii="宋体 ，Arial" w:hAnsi="宋体" w:eastAsia="宋体 ，Arial" w:cs="宋体"/>
                <w:kern w:val="0"/>
                <w:szCs w:val="21"/>
              </w:rPr>
            </w:pPr>
            <w:r>
              <w:rPr>
                <w:sz w:val="32"/>
              </w:rPr>
              <w:t>□</w:t>
            </w:r>
            <w:r>
              <w:rPr>
                <w:rFonts w:hint="eastAsia"/>
                <w:szCs w:val="21"/>
              </w:rPr>
              <w:t>是，</w:t>
            </w:r>
            <w:r>
              <w:rPr>
                <w:rFonts w:hint="eastAsia" w:ascii="宋体 ，Arial" w:hAnsi="宋体" w:eastAsia="宋体 ，Arial" w:cs="宋体"/>
                <w:kern w:val="0"/>
                <w:szCs w:val="21"/>
              </w:rPr>
              <w:t>利息的计算方式：</w:t>
            </w:r>
            <w:r>
              <w:rPr>
                <w:rFonts w:hint="eastAsia" w:ascii="宋体 ，Arial" w:hAnsi="宋体" w:eastAsia="宋体 ，Arial" w:cs="宋体"/>
                <w:kern w:val="0"/>
                <w:szCs w:val="21"/>
                <w:u w:val="single"/>
              </w:rPr>
              <w:t xml:space="preserve">              </w:t>
            </w:r>
          </w:p>
          <w:p>
            <w:pPr>
              <w:snapToGrid w:val="0"/>
              <w:spacing w:line="360" w:lineRule="atLeast"/>
              <w:ind w:firstLine="364" w:firstLineChars="114"/>
              <w:rPr>
                <w:szCs w:val="21"/>
              </w:rPr>
            </w:pPr>
            <w:r>
              <w:rPr>
                <w:sz w:val="32"/>
              </w:rPr>
              <w:t>□</w:t>
            </w:r>
            <w:r>
              <w:rPr>
                <w:rFonts w:hint="eastAsia"/>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2</w:t>
            </w:r>
            <w:r>
              <w:rPr>
                <w:rFonts w:hint="eastAsia"/>
                <w:szCs w:val="21"/>
              </w:rPr>
              <w:t>1</w:t>
            </w:r>
          </w:p>
        </w:tc>
        <w:tc>
          <w:tcPr>
            <w:tcW w:w="614" w:type="pct"/>
            <w:vAlign w:val="center"/>
          </w:tcPr>
          <w:p>
            <w:pPr>
              <w:snapToGrid w:val="0"/>
              <w:spacing w:line="360" w:lineRule="atLeast"/>
              <w:jc w:val="center"/>
              <w:rPr>
                <w:szCs w:val="21"/>
              </w:rPr>
            </w:pPr>
            <w:r>
              <w:rPr>
                <w:szCs w:val="21"/>
              </w:rPr>
              <w:t>17.5.1</w:t>
            </w:r>
            <w:r>
              <w:rPr>
                <w:rFonts w:hint="eastAsia"/>
                <w:szCs w:val="21"/>
              </w:rPr>
              <w:t>（1）</w:t>
            </w:r>
          </w:p>
        </w:tc>
        <w:tc>
          <w:tcPr>
            <w:tcW w:w="4038" w:type="pct"/>
            <w:vAlign w:val="center"/>
          </w:tcPr>
          <w:p>
            <w:pPr>
              <w:snapToGrid w:val="0"/>
              <w:spacing w:line="360" w:lineRule="atLeast"/>
              <w:ind w:firstLine="239" w:firstLineChars="114"/>
              <w:rPr>
                <w:szCs w:val="21"/>
              </w:rPr>
            </w:pPr>
            <w:r>
              <w:rPr>
                <w:szCs w:val="21"/>
              </w:rPr>
              <w:t>承包人向监理人提交交工付款申请单（包括相关证明材料）的份数：</w:t>
            </w:r>
          </w:p>
          <w:p>
            <w:pPr>
              <w:snapToGrid w:val="0"/>
              <w:spacing w:line="360" w:lineRule="atLeast"/>
              <w:ind w:firstLine="239" w:firstLineChars="114"/>
              <w:rPr>
                <w:szCs w:val="21"/>
              </w:rPr>
            </w:pPr>
            <w:r>
              <w:rPr>
                <w:szCs w:val="21"/>
                <w:u w:val="single"/>
              </w:rPr>
              <w:t xml:space="preserve">    </w:t>
            </w:r>
            <w:r>
              <w:rPr>
                <w:szCs w:val="21"/>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tcBorders>
              <w:bottom w:val="single" w:color="auto" w:sz="4" w:space="0"/>
            </w:tcBorders>
            <w:vAlign w:val="center"/>
          </w:tcPr>
          <w:p>
            <w:pPr>
              <w:snapToGrid w:val="0"/>
              <w:spacing w:line="360" w:lineRule="atLeast"/>
              <w:jc w:val="center"/>
              <w:rPr>
                <w:szCs w:val="21"/>
              </w:rPr>
            </w:pPr>
            <w:r>
              <w:rPr>
                <w:szCs w:val="21"/>
              </w:rPr>
              <w:t>2</w:t>
            </w:r>
            <w:r>
              <w:rPr>
                <w:rFonts w:hint="eastAsia"/>
                <w:szCs w:val="21"/>
              </w:rPr>
              <w:t>2</w:t>
            </w:r>
          </w:p>
        </w:tc>
        <w:tc>
          <w:tcPr>
            <w:tcW w:w="614" w:type="pct"/>
            <w:tcBorders>
              <w:bottom w:val="single" w:color="auto" w:sz="4" w:space="0"/>
            </w:tcBorders>
            <w:vAlign w:val="center"/>
          </w:tcPr>
          <w:p>
            <w:pPr>
              <w:snapToGrid w:val="0"/>
              <w:spacing w:line="360" w:lineRule="atLeast"/>
              <w:jc w:val="center"/>
              <w:rPr>
                <w:szCs w:val="21"/>
              </w:rPr>
            </w:pPr>
            <w:r>
              <w:rPr>
                <w:szCs w:val="21"/>
              </w:rPr>
              <w:t>17.6.1</w:t>
            </w:r>
            <w:r>
              <w:rPr>
                <w:rFonts w:hint="eastAsia"/>
                <w:szCs w:val="21"/>
              </w:rPr>
              <w:t>（1）</w:t>
            </w:r>
          </w:p>
        </w:tc>
        <w:tc>
          <w:tcPr>
            <w:tcW w:w="4038" w:type="pct"/>
            <w:tcBorders>
              <w:bottom w:val="single" w:color="auto" w:sz="4" w:space="0"/>
            </w:tcBorders>
            <w:vAlign w:val="center"/>
          </w:tcPr>
          <w:p>
            <w:pPr>
              <w:snapToGrid w:val="0"/>
              <w:spacing w:line="360" w:lineRule="atLeast"/>
              <w:ind w:firstLine="239" w:firstLineChars="114"/>
              <w:rPr>
                <w:szCs w:val="21"/>
              </w:rPr>
            </w:pPr>
            <w:r>
              <w:rPr>
                <w:szCs w:val="21"/>
              </w:rPr>
              <w:t>承包人向监理人提交最终结清申请单（包括相关证明材料）的份数：</w:t>
            </w:r>
          </w:p>
          <w:p>
            <w:pPr>
              <w:snapToGrid w:val="0"/>
              <w:spacing w:line="360" w:lineRule="atLeast"/>
              <w:ind w:firstLine="239" w:firstLineChars="114"/>
              <w:rPr>
                <w:szCs w:val="21"/>
              </w:rPr>
            </w:pPr>
            <w:r>
              <w:rPr>
                <w:szCs w:val="21"/>
                <w:u w:val="single"/>
              </w:rPr>
              <w:t xml:space="preserve">      </w:t>
            </w:r>
            <w:r>
              <w:rPr>
                <w:szCs w:val="21"/>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tcBorders>
              <w:top w:val="single" w:color="auto" w:sz="4" w:space="0"/>
              <w:left w:val="single" w:color="auto" w:sz="4" w:space="0"/>
              <w:bottom w:val="single" w:color="auto" w:sz="4" w:space="0"/>
              <w:right w:val="single" w:color="auto" w:sz="4" w:space="0"/>
            </w:tcBorders>
            <w:vAlign w:val="center"/>
          </w:tcPr>
          <w:p>
            <w:pPr>
              <w:snapToGrid w:val="0"/>
              <w:spacing w:line="360" w:lineRule="atLeast"/>
              <w:jc w:val="center"/>
              <w:rPr>
                <w:szCs w:val="21"/>
              </w:rPr>
            </w:pPr>
            <w:r>
              <w:rPr>
                <w:szCs w:val="21"/>
              </w:rPr>
              <w:t>2</w:t>
            </w:r>
            <w:r>
              <w:rPr>
                <w:rFonts w:hint="eastAsia"/>
                <w:szCs w:val="21"/>
              </w:rPr>
              <w:t>3</w:t>
            </w:r>
          </w:p>
        </w:tc>
        <w:tc>
          <w:tcPr>
            <w:tcW w:w="614" w:type="pct"/>
            <w:tcBorders>
              <w:top w:val="single" w:color="auto" w:sz="4" w:space="0"/>
              <w:left w:val="single" w:color="auto" w:sz="4" w:space="0"/>
              <w:bottom w:val="single" w:color="auto" w:sz="4" w:space="0"/>
              <w:right w:val="single" w:color="auto" w:sz="4" w:space="0"/>
            </w:tcBorders>
            <w:vAlign w:val="center"/>
          </w:tcPr>
          <w:p>
            <w:pPr>
              <w:snapToGrid w:val="0"/>
              <w:spacing w:line="360" w:lineRule="atLeast"/>
              <w:jc w:val="center"/>
              <w:rPr>
                <w:szCs w:val="21"/>
              </w:rPr>
            </w:pPr>
            <w:r>
              <w:rPr>
                <w:szCs w:val="21"/>
              </w:rPr>
              <w:t>18.2</w:t>
            </w:r>
            <w:r>
              <w:rPr>
                <w:rFonts w:hint="eastAsia"/>
                <w:szCs w:val="21"/>
              </w:rPr>
              <w:t>（2）</w:t>
            </w:r>
          </w:p>
        </w:tc>
        <w:tc>
          <w:tcPr>
            <w:tcW w:w="4038" w:type="pct"/>
            <w:tcBorders>
              <w:top w:val="single" w:color="auto" w:sz="4" w:space="0"/>
              <w:left w:val="single" w:color="auto" w:sz="4" w:space="0"/>
              <w:bottom w:val="single" w:color="auto" w:sz="4" w:space="0"/>
              <w:right w:val="single" w:color="auto" w:sz="4" w:space="0"/>
            </w:tcBorders>
            <w:vAlign w:val="center"/>
          </w:tcPr>
          <w:p>
            <w:pPr>
              <w:snapToGrid w:val="0"/>
              <w:spacing w:line="360" w:lineRule="atLeast"/>
              <w:ind w:firstLine="239" w:firstLineChars="114"/>
              <w:rPr>
                <w:szCs w:val="21"/>
              </w:rPr>
            </w:pPr>
            <w:r>
              <w:rPr>
                <w:szCs w:val="21"/>
              </w:rPr>
              <w:t>竣工资料的份数：</w:t>
            </w:r>
            <w:r>
              <w:rPr>
                <w:szCs w:val="21"/>
                <w:u w:val="single"/>
              </w:rPr>
              <w:t xml:space="preserve">      </w:t>
            </w:r>
            <w:r>
              <w:rPr>
                <w:szCs w:val="21"/>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tcBorders>
              <w:top w:val="single" w:color="auto" w:sz="4" w:space="0"/>
              <w:left w:val="single" w:color="auto" w:sz="4" w:space="0"/>
              <w:bottom w:val="single" w:color="auto" w:sz="4" w:space="0"/>
              <w:right w:val="single" w:color="auto" w:sz="4" w:space="0"/>
            </w:tcBorders>
            <w:vAlign w:val="center"/>
          </w:tcPr>
          <w:p>
            <w:pPr>
              <w:snapToGrid w:val="0"/>
              <w:spacing w:line="360" w:lineRule="atLeast"/>
              <w:jc w:val="center"/>
              <w:rPr>
                <w:szCs w:val="21"/>
              </w:rPr>
            </w:pPr>
            <w:r>
              <w:rPr>
                <w:szCs w:val="21"/>
              </w:rPr>
              <w:t>2</w:t>
            </w:r>
            <w:r>
              <w:rPr>
                <w:rFonts w:hint="eastAsia"/>
                <w:szCs w:val="21"/>
              </w:rPr>
              <w:t>4</w:t>
            </w:r>
          </w:p>
        </w:tc>
        <w:tc>
          <w:tcPr>
            <w:tcW w:w="614" w:type="pct"/>
            <w:tcBorders>
              <w:top w:val="single" w:color="auto" w:sz="4" w:space="0"/>
              <w:left w:val="single" w:color="auto" w:sz="4" w:space="0"/>
              <w:bottom w:val="single" w:color="auto" w:sz="4" w:space="0"/>
              <w:right w:val="single" w:color="auto" w:sz="4" w:space="0"/>
            </w:tcBorders>
            <w:vAlign w:val="center"/>
          </w:tcPr>
          <w:p>
            <w:pPr>
              <w:snapToGrid w:val="0"/>
              <w:spacing w:line="360" w:lineRule="atLeast"/>
              <w:jc w:val="center"/>
              <w:rPr>
                <w:szCs w:val="21"/>
              </w:rPr>
            </w:pPr>
            <w:r>
              <w:rPr>
                <w:szCs w:val="21"/>
              </w:rPr>
              <w:t>18.5.1</w:t>
            </w:r>
          </w:p>
        </w:tc>
        <w:tc>
          <w:tcPr>
            <w:tcW w:w="4038" w:type="pct"/>
            <w:tcBorders>
              <w:top w:val="single" w:color="auto" w:sz="4" w:space="0"/>
              <w:left w:val="single" w:color="auto" w:sz="4" w:space="0"/>
              <w:bottom w:val="single" w:color="auto" w:sz="4" w:space="0"/>
              <w:right w:val="single" w:color="auto" w:sz="4" w:space="0"/>
            </w:tcBorders>
            <w:vAlign w:val="center"/>
          </w:tcPr>
          <w:p>
            <w:pPr>
              <w:spacing w:line="360" w:lineRule="atLeast"/>
              <w:ind w:firstLine="239" w:firstLineChars="114"/>
              <w:rPr>
                <w:szCs w:val="21"/>
                <w:u w:val="single"/>
              </w:rPr>
            </w:pPr>
            <w:r>
              <w:rPr>
                <w:szCs w:val="21"/>
              </w:rPr>
              <w:t>单位工程或工程设备是否需投入施工期运行：</w:t>
            </w:r>
            <w:r>
              <w:rPr>
                <w:szCs w:val="21"/>
                <w:u w:val="single"/>
              </w:rPr>
              <w:t xml:space="preserve"> 是或否 </w:t>
            </w:r>
          </w:p>
          <w:p>
            <w:pPr>
              <w:spacing w:line="360" w:lineRule="atLeast"/>
              <w:ind w:firstLine="239" w:firstLineChars="114"/>
              <w:rPr>
                <w:szCs w:val="21"/>
              </w:rPr>
            </w:pPr>
            <w:r>
              <w:rPr>
                <w:szCs w:val="21"/>
              </w:rPr>
              <w:t>如单位工程或工程设备需要进行施工期运行，需要施工期运行的单位工程或工程设备规定如下：</w:t>
            </w:r>
            <w:r>
              <w:rPr>
                <w:szCs w:val="21"/>
                <w:u w:val="single"/>
              </w:rPr>
              <w:t xml:space="preserve">                       </w:t>
            </w:r>
            <w:r>
              <w:rPr>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tcBorders>
              <w:top w:val="single" w:color="auto" w:sz="4" w:space="0"/>
              <w:left w:val="single" w:color="auto" w:sz="4" w:space="0"/>
              <w:bottom w:val="single" w:color="auto" w:sz="4" w:space="0"/>
              <w:right w:val="single" w:color="auto" w:sz="4" w:space="0"/>
            </w:tcBorders>
            <w:vAlign w:val="center"/>
          </w:tcPr>
          <w:p>
            <w:pPr>
              <w:snapToGrid w:val="0"/>
              <w:spacing w:line="360" w:lineRule="atLeast"/>
              <w:jc w:val="center"/>
              <w:rPr>
                <w:szCs w:val="21"/>
              </w:rPr>
            </w:pPr>
            <w:r>
              <w:rPr>
                <w:szCs w:val="21"/>
              </w:rPr>
              <w:t>2</w:t>
            </w:r>
            <w:r>
              <w:rPr>
                <w:rFonts w:hint="eastAsia"/>
                <w:szCs w:val="21"/>
              </w:rPr>
              <w:t>5</w:t>
            </w:r>
          </w:p>
        </w:tc>
        <w:tc>
          <w:tcPr>
            <w:tcW w:w="614" w:type="pct"/>
            <w:tcBorders>
              <w:top w:val="single" w:color="auto" w:sz="4" w:space="0"/>
              <w:left w:val="single" w:color="auto" w:sz="4" w:space="0"/>
              <w:bottom w:val="single" w:color="auto" w:sz="4" w:space="0"/>
              <w:right w:val="single" w:color="auto" w:sz="4" w:space="0"/>
            </w:tcBorders>
            <w:vAlign w:val="center"/>
          </w:tcPr>
          <w:p>
            <w:pPr>
              <w:snapToGrid w:val="0"/>
              <w:spacing w:line="360" w:lineRule="atLeast"/>
              <w:jc w:val="center"/>
              <w:rPr>
                <w:szCs w:val="21"/>
              </w:rPr>
            </w:pPr>
            <w:r>
              <w:rPr>
                <w:szCs w:val="21"/>
              </w:rPr>
              <w:t>18.6.1</w:t>
            </w:r>
          </w:p>
        </w:tc>
        <w:tc>
          <w:tcPr>
            <w:tcW w:w="4038" w:type="pct"/>
            <w:tcBorders>
              <w:top w:val="single" w:color="auto" w:sz="4" w:space="0"/>
              <w:left w:val="single" w:color="auto" w:sz="4" w:space="0"/>
              <w:bottom w:val="single" w:color="auto" w:sz="4" w:space="0"/>
              <w:right w:val="single" w:color="auto" w:sz="4" w:space="0"/>
            </w:tcBorders>
            <w:vAlign w:val="center"/>
          </w:tcPr>
          <w:p>
            <w:pPr>
              <w:spacing w:line="360" w:lineRule="atLeast"/>
              <w:ind w:firstLine="239" w:firstLineChars="114"/>
              <w:rPr>
                <w:szCs w:val="21"/>
                <w:u w:val="single"/>
              </w:rPr>
            </w:pPr>
            <w:r>
              <w:rPr>
                <w:szCs w:val="21"/>
              </w:rPr>
              <w:t>本工程及工程设备是否进行试运行：</w:t>
            </w:r>
            <w:r>
              <w:rPr>
                <w:szCs w:val="21"/>
                <w:u w:val="single"/>
              </w:rPr>
              <w:t xml:space="preserve"> 是或否 </w:t>
            </w:r>
          </w:p>
          <w:p>
            <w:pPr>
              <w:spacing w:line="360" w:lineRule="atLeast"/>
              <w:ind w:firstLine="239" w:firstLineChars="114"/>
              <w:rPr>
                <w:szCs w:val="21"/>
              </w:rPr>
            </w:pPr>
            <w:r>
              <w:rPr>
                <w:szCs w:val="21"/>
              </w:rPr>
              <w:t>如本工程及工程设备需要进行试运行，试运行的具体规定如下：</w:t>
            </w:r>
            <w:r>
              <w:rPr>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2</w:t>
            </w:r>
            <w:r>
              <w:rPr>
                <w:rFonts w:hint="eastAsia"/>
                <w:szCs w:val="21"/>
              </w:rPr>
              <w:t>6</w:t>
            </w:r>
          </w:p>
        </w:tc>
        <w:tc>
          <w:tcPr>
            <w:tcW w:w="614" w:type="pct"/>
            <w:vAlign w:val="center"/>
          </w:tcPr>
          <w:p>
            <w:pPr>
              <w:snapToGrid w:val="0"/>
              <w:spacing w:line="360" w:lineRule="atLeast"/>
              <w:jc w:val="center"/>
              <w:rPr>
                <w:szCs w:val="21"/>
              </w:rPr>
            </w:pPr>
            <w:r>
              <w:rPr>
                <w:szCs w:val="21"/>
              </w:rPr>
              <w:t>19.7</w:t>
            </w:r>
            <w:r>
              <w:rPr>
                <w:rFonts w:hint="eastAsia"/>
                <w:szCs w:val="21"/>
              </w:rPr>
              <w:t>（1）</w:t>
            </w:r>
          </w:p>
        </w:tc>
        <w:tc>
          <w:tcPr>
            <w:tcW w:w="4038" w:type="pct"/>
            <w:vAlign w:val="center"/>
          </w:tcPr>
          <w:p>
            <w:pPr>
              <w:snapToGrid w:val="0"/>
              <w:spacing w:line="360" w:lineRule="atLeast"/>
              <w:ind w:firstLine="239" w:firstLineChars="114"/>
              <w:rPr>
                <w:szCs w:val="21"/>
              </w:rPr>
            </w:pPr>
            <w:r>
              <w:rPr>
                <w:szCs w:val="21"/>
              </w:rPr>
              <w:t>保修期：自实际交工日期起计算</w:t>
            </w:r>
            <w:r>
              <w:rPr>
                <w:szCs w:val="21"/>
                <w:u w:val="single"/>
              </w:rPr>
              <w:t xml:space="preserve">     </w:t>
            </w:r>
            <w:r>
              <w:rPr>
                <w:szCs w:val="21"/>
              </w:rPr>
              <w:t>年</w:t>
            </w:r>
            <w:r>
              <w:rPr>
                <w:rStyle w:val="59"/>
                <w:szCs w:val="21"/>
              </w:rPr>
              <w:footnoteReference w:id="11"/>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2</w:t>
            </w:r>
            <w:r>
              <w:rPr>
                <w:rFonts w:hint="eastAsia"/>
                <w:szCs w:val="21"/>
              </w:rPr>
              <w:t>7</w:t>
            </w:r>
          </w:p>
        </w:tc>
        <w:tc>
          <w:tcPr>
            <w:tcW w:w="614" w:type="pct"/>
            <w:vAlign w:val="center"/>
          </w:tcPr>
          <w:p>
            <w:pPr>
              <w:snapToGrid w:val="0"/>
              <w:spacing w:line="360" w:lineRule="atLeast"/>
              <w:jc w:val="center"/>
              <w:rPr>
                <w:szCs w:val="21"/>
              </w:rPr>
            </w:pPr>
            <w:r>
              <w:rPr>
                <w:szCs w:val="21"/>
              </w:rPr>
              <w:t>20.1</w:t>
            </w:r>
          </w:p>
        </w:tc>
        <w:tc>
          <w:tcPr>
            <w:tcW w:w="4038" w:type="pct"/>
            <w:vAlign w:val="center"/>
          </w:tcPr>
          <w:p>
            <w:pPr>
              <w:snapToGrid w:val="0"/>
              <w:spacing w:line="360" w:lineRule="atLeast"/>
              <w:ind w:firstLine="239" w:firstLineChars="114"/>
              <w:rPr>
                <w:szCs w:val="21"/>
              </w:rPr>
            </w:pPr>
            <w:r>
              <w:rPr>
                <w:szCs w:val="21"/>
              </w:rPr>
              <w:t>建筑工程一切险的保险费率：</w:t>
            </w:r>
            <w:r>
              <w:rPr>
                <w:szCs w:val="21"/>
                <w:u w:val="single"/>
              </w:rPr>
              <w:t xml:space="preserve">    </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szCs w:val="21"/>
              </w:rPr>
              <w:t>2</w:t>
            </w:r>
            <w:r>
              <w:rPr>
                <w:rFonts w:hint="eastAsia"/>
                <w:szCs w:val="21"/>
              </w:rPr>
              <w:t>8</w:t>
            </w:r>
          </w:p>
        </w:tc>
        <w:tc>
          <w:tcPr>
            <w:tcW w:w="614" w:type="pct"/>
            <w:vAlign w:val="center"/>
          </w:tcPr>
          <w:p>
            <w:pPr>
              <w:snapToGrid w:val="0"/>
              <w:spacing w:line="360" w:lineRule="atLeast"/>
              <w:jc w:val="center"/>
              <w:rPr>
                <w:szCs w:val="21"/>
              </w:rPr>
            </w:pPr>
            <w:r>
              <w:rPr>
                <w:szCs w:val="21"/>
              </w:rPr>
              <w:t>20.4.2</w:t>
            </w:r>
          </w:p>
        </w:tc>
        <w:tc>
          <w:tcPr>
            <w:tcW w:w="4038" w:type="pct"/>
            <w:vAlign w:val="center"/>
          </w:tcPr>
          <w:p>
            <w:pPr>
              <w:snapToGrid w:val="0"/>
              <w:spacing w:line="360" w:lineRule="atLeast"/>
              <w:ind w:firstLine="237" w:firstLineChars="113"/>
              <w:rPr>
                <w:szCs w:val="21"/>
              </w:rPr>
            </w:pPr>
            <w:r>
              <w:rPr>
                <w:szCs w:val="21"/>
              </w:rPr>
              <w:t>第三者责任险的最低投保金额：</w:t>
            </w:r>
            <w:r>
              <w:rPr>
                <w:szCs w:val="21"/>
                <w:u w:val="single"/>
              </w:rPr>
              <w:t xml:space="preserve">     </w:t>
            </w:r>
            <w:r>
              <w:rPr>
                <w:szCs w:val="21"/>
              </w:rPr>
              <w:t>万元，事故次数不限（不计免赔额）</w:t>
            </w:r>
          </w:p>
          <w:p>
            <w:pPr>
              <w:snapToGrid w:val="0"/>
              <w:spacing w:line="360" w:lineRule="atLeast"/>
              <w:ind w:firstLine="237" w:firstLineChars="113"/>
              <w:rPr>
                <w:szCs w:val="21"/>
              </w:rPr>
            </w:pPr>
            <w:r>
              <w:rPr>
                <w:szCs w:val="21"/>
              </w:rPr>
              <w:t>保险费率：</w:t>
            </w:r>
            <w:r>
              <w:rPr>
                <w:szCs w:val="21"/>
                <w:u w:val="single"/>
              </w:rPr>
              <w:t xml:space="preserve">    </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vAlign w:val="center"/>
          </w:tcPr>
          <w:p>
            <w:pPr>
              <w:snapToGrid w:val="0"/>
              <w:spacing w:line="360" w:lineRule="atLeast"/>
              <w:jc w:val="center"/>
              <w:rPr>
                <w:szCs w:val="21"/>
              </w:rPr>
            </w:pPr>
            <w:r>
              <w:rPr>
                <w:rFonts w:hint="eastAsia"/>
                <w:szCs w:val="21"/>
              </w:rPr>
              <w:t>29</w:t>
            </w:r>
          </w:p>
        </w:tc>
        <w:tc>
          <w:tcPr>
            <w:tcW w:w="614" w:type="pct"/>
            <w:vAlign w:val="center"/>
          </w:tcPr>
          <w:p>
            <w:pPr>
              <w:snapToGrid w:val="0"/>
              <w:spacing w:line="360" w:lineRule="atLeast"/>
              <w:jc w:val="center"/>
              <w:rPr>
                <w:szCs w:val="21"/>
              </w:rPr>
            </w:pPr>
            <w:r>
              <w:rPr>
                <w:szCs w:val="21"/>
              </w:rPr>
              <w:t>24.1</w:t>
            </w:r>
          </w:p>
        </w:tc>
        <w:tc>
          <w:tcPr>
            <w:tcW w:w="4038" w:type="pct"/>
            <w:vAlign w:val="center"/>
          </w:tcPr>
          <w:p>
            <w:pPr>
              <w:spacing w:line="360" w:lineRule="atLeast"/>
              <w:ind w:left="-17" w:leftChars="-8" w:firstLine="237" w:firstLineChars="113"/>
              <w:rPr>
                <w:szCs w:val="21"/>
              </w:rPr>
            </w:pPr>
            <w:r>
              <w:rPr>
                <w:szCs w:val="21"/>
              </w:rPr>
              <w:t>争议的最终解决方式：</w:t>
            </w:r>
            <w:r>
              <w:rPr>
                <w:szCs w:val="21"/>
                <w:u w:val="single"/>
              </w:rPr>
              <w:t xml:space="preserve">  仲裁或诉讼  </w:t>
            </w:r>
          </w:p>
          <w:p>
            <w:pPr>
              <w:pStyle w:val="32"/>
              <w:tabs>
                <w:tab w:val="clear" w:pos="4153"/>
                <w:tab w:val="clear" w:pos="8306"/>
              </w:tabs>
              <w:spacing w:line="360" w:lineRule="atLeast"/>
              <w:ind w:firstLine="237" w:firstLineChars="113"/>
              <w:rPr>
                <w:sz w:val="21"/>
                <w:szCs w:val="21"/>
              </w:rPr>
            </w:pPr>
            <w:r>
              <w:rPr>
                <w:sz w:val="21"/>
                <w:szCs w:val="21"/>
              </w:rPr>
              <w:t>如采用仲裁，仲裁委员会名称：</w:t>
            </w:r>
            <w:r>
              <w:rPr>
                <w:sz w:val="21"/>
                <w:szCs w:val="21"/>
                <w:u w:val="single"/>
              </w:rPr>
              <w:t xml:space="preserve">                           </w:t>
            </w:r>
          </w:p>
        </w:tc>
      </w:tr>
    </w:tbl>
    <w:p>
      <w:pPr>
        <w:spacing w:line="380" w:lineRule="atLeast"/>
        <w:jc w:val="left"/>
        <w:rPr>
          <w:rFonts w:eastAsia="黑体"/>
          <w:sz w:val="20"/>
          <w:szCs w:val="20"/>
        </w:rPr>
      </w:pPr>
    </w:p>
    <w:p>
      <w:bookmarkStart w:id="538" w:name="_Toc234833222"/>
      <w:bookmarkStart w:id="539" w:name="_Toc9353012"/>
    </w:p>
    <w:p>
      <w:pPr>
        <w:jc w:val="center"/>
        <w:rPr>
          <w:sz w:val="32"/>
          <w:szCs w:val="32"/>
        </w:rPr>
      </w:pPr>
    </w:p>
    <w:p>
      <w:pPr>
        <w:jc w:val="center"/>
        <w:rPr>
          <w:sz w:val="32"/>
          <w:szCs w:val="32"/>
        </w:rPr>
      </w:pPr>
      <w:r>
        <w:rPr>
          <w:sz w:val="32"/>
          <w:szCs w:val="32"/>
        </w:rPr>
        <w:t>项目专用合同条款</w:t>
      </w:r>
      <w:bookmarkEnd w:id="538"/>
      <w:bookmarkEnd w:id="539"/>
    </w:p>
    <w:p/>
    <w:p>
      <w:pPr>
        <w:pStyle w:val="19"/>
        <w:snapToGrid w:val="0"/>
        <w:spacing w:after="0" w:line="400" w:lineRule="atLeast"/>
        <w:ind w:left="660" w:leftChars="0" w:hanging="660" w:hangingChars="275"/>
        <w:rPr>
          <w:rFonts w:eastAsia="黑体"/>
          <w:sz w:val="24"/>
        </w:rPr>
      </w:pPr>
      <w:r>
        <w:rPr>
          <w:rFonts w:eastAsia="黑体"/>
          <w:sz w:val="24"/>
        </w:rPr>
        <w:t>说明：</w:t>
      </w:r>
      <w:r>
        <w:rPr>
          <w:rFonts w:hint="eastAsia" w:ascii="楷体_GB2312" w:hAnsi="宋体" w:eastAsia="楷体_GB2312"/>
          <w:sz w:val="24"/>
        </w:rPr>
        <w:t>本部分所列的项目专用合同条款是对“公路工程专用合同条款”中规定必须在项目专用合同条款中明确的内容的集中，招标人编制的“项目专用合同条款”不限于本部分所列内容。</w:t>
      </w:r>
    </w:p>
    <w:p>
      <w:pPr>
        <w:rPr>
          <w:b/>
        </w:rPr>
      </w:pPr>
      <w:bookmarkStart w:id="540" w:name="_Toc234833223"/>
      <w:bookmarkStart w:id="541" w:name="_Toc9353013"/>
      <w:r>
        <w:t>4.1 承包人的一般义务</w:t>
      </w:r>
      <w:bookmarkEnd w:id="540"/>
      <w:bookmarkEnd w:id="541"/>
    </w:p>
    <w:p>
      <w:pPr>
        <w:spacing w:line="400" w:lineRule="atLeast"/>
        <w:ind w:firstLine="470" w:firstLineChars="196"/>
        <w:rPr>
          <w:rFonts w:eastAsia="黑体"/>
          <w:sz w:val="24"/>
        </w:rPr>
      </w:pPr>
      <w:r>
        <w:rPr>
          <w:sz w:val="24"/>
        </w:rPr>
        <w:t xml:space="preserve">4.1.10 </w:t>
      </w:r>
      <w:r>
        <w:rPr>
          <w:rFonts w:eastAsia="黑体"/>
          <w:sz w:val="24"/>
        </w:rPr>
        <w:t>其他义务</w:t>
      </w:r>
    </w:p>
    <w:p>
      <w:pPr>
        <w:spacing w:line="400" w:lineRule="atLeast"/>
        <w:ind w:firstLine="390"/>
        <w:rPr>
          <w:sz w:val="24"/>
          <w:u w:val="single"/>
        </w:rPr>
      </w:pPr>
      <w:r>
        <w:rPr>
          <w:sz w:val="24"/>
        </w:rPr>
        <w:t>（4）承包人应履行的其他义务：</w:t>
      </w:r>
      <w:r>
        <w:rPr>
          <w:sz w:val="24"/>
          <w:u w:val="single"/>
        </w:rPr>
        <w:t xml:space="preserve">                       </w:t>
      </w:r>
    </w:p>
    <w:p>
      <w:pPr>
        <w:spacing w:line="400" w:lineRule="atLeast"/>
        <w:ind w:firstLine="390"/>
        <w:rPr>
          <w:sz w:val="24"/>
        </w:rPr>
      </w:pPr>
    </w:p>
    <w:p>
      <w:pPr>
        <w:rPr>
          <w:b/>
        </w:rPr>
      </w:pPr>
      <w:bookmarkStart w:id="542" w:name="_Toc234833224"/>
      <w:bookmarkStart w:id="543" w:name="_Toc9353014"/>
      <w:r>
        <w:t>4.11 不利物质条件</w:t>
      </w:r>
      <w:bookmarkEnd w:id="542"/>
      <w:bookmarkEnd w:id="543"/>
    </w:p>
    <w:p>
      <w:pPr>
        <w:spacing w:line="380" w:lineRule="atLeast"/>
        <w:ind w:firstLine="480" w:firstLineChars="200"/>
        <w:rPr>
          <w:sz w:val="24"/>
        </w:rPr>
      </w:pPr>
      <w:r>
        <w:rPr>
          <w:sz w:val="24"/>
        </w:rPr>
        <w:t>4.11.1 不利物质条件的范围：</w:t>
      </w:r>
      <w:r>
        <w:rPr>
          <w:sz w:val="24"/>
          <w:u w:val="single"/>
        </w:rPr>
        <w:t xml:space="preserve">                       </w:t>
      </w:r>
    </w:p>
    <w:p>
      <w:pPr>
        <w:rPr>
          <w:b/>
        </w:rPr>
      </w:pPr>
      <w:bookmarkStart w:id="544" w:name="_Toc234833225"/>
      <w:bookmarkStart w:id="545" w:name="_Toc9353015"/>
      <w:r>
        <w:t>10.1 合同进度计划</w:t>
      </w:r>
      <w:bookmarkEnd w:id="544"/>
      <w:bookmarkEnd w:id="545"/>
    </w:p>
    <w:p>
      <w:pPr>
        <w:spacing w:line="380" w:lineRule="atLeast"/>
        <w:ind w:firstLine="480" w:firstLineChars="200"/>
        <w:rPr>
          <w:sz w:val="24"/>
          <w:u w:val="single"/>
        </w:rPr>
      </w:pPr>
      <w:r>
        <w:rPr>
          <w:sz w:val="24"/>
        </w:rPr>
        <w:t>承包人编制施工方案的内容：</w:t>
      </w:r>
      <w:r>
        <w:rPr>
          <w:sz w:val="24"/>
          <w:u w:val="single"/>
        </w:rPr>
        <w:t xml:space="preserve">              </w:t>
      </w:r>
    </w:p>
    <w:p>
      <w:pPr>
        <w:rPr>
          <w:b/>
        </w:rPr>
      </w:pPr>
      <w:bookmarkStart w:id="546" w:name="_Toc234833226"/>
      <w:bookmarkStart w:id="547" w:name="_Toc9353016"/>
      <w:r>
        <w:t>11.4异常恶劣的气候条件</w:t>
      </w:r>
      <w:bookmarkEnd w:id="546"/>
      <w:bookmarkEnd w:id="547"/>
    </w:p>
    <w:p>
      <w:pPr>
        <w:spacing w:line="400" w:lineRule="atLeast"/>
        <w:ind w:firstLine="480" w:firstLineChars="200"/>
        <w:rPr>
          <w:sz w:val="24"/>
        </w:rPr>
      </w:pPr>
      <w:r>
        <w:rPr>
          <w:sz w:val="24"/>
        </w:rPr>
        <w:t>异常恶劣的气候条件的范围：</w:t>
      </w:r>
      <w:r>
        <w:rPr>
          <w:sz w:val="24"/>
          <w:u w:val="single"/>
        </w:rPr>
        <w:t xml:space="preserve">              </w:t>
      </w:r>
    </w:p>
    <w:p>
      <w:pPr>
        <w:rPr>
          <w:b/>
        </w:rPr>
      </w:pPr>
      <w:bookmarkStart w:id="548" w:name="_Toc9353017"/>
      <w:bookmarkStart w:id="549" w:name="_Toc234833227"/>
      <w:r>
        <w:t>12.1 承包人暂停施工的责任</w:t>
      </w:r>
      <w:bookmarkEnd w:id="548"/>
      <w:bookmarkEnd w:id="549"/>
    </w:p>
    <w:p>
      <w:pPr>
        <w:spacing w:line="400" w:lineRule="atLeast"/>
        <w:ind w:firstLine="480" w:firstLineChars="200"/>
        <w:rPr>
          <w:sz w:val="24"/>
          <w:u w:val="single"/>
        </w:rPr>
      </w:pPr>
      <w:r>
        <w:rPr>
          <w:sz w:val="24"/>
        </w:rPr>
        <w:t>12.1 （6）由承包人承担的其他暂停施工：</w:t>
      </w:r>
      <w:r>
        <w:rPr>
          <w:sz w:val="24"/>
          <w:u w:val="single"/>
        </w:rPr>
        <w:t xml:space="preserve">                       </w:t>
      </w:r>
    </w:p>
    <w:p>
      <w:pPr>
        <w:rPr>
          <w:b/>
        </w:rPr>
      </w:pPr>
      <w:bookmarkStart w:id="550" w:name="_Toc9353018"/>
      <w:r>
        <w:t>1</w:t>
      </w:r>
      <w:r>
        <w:rPr>
          <w:rFonts w:hint="eastAsia"/>
        </w:rPr>
        <w:t>7</w:t>
      </w:r>
      <w:r>
        <w:t>.1</w:t>
      </w:r>
      <w:r>
        <w:rPr>
          <w:rFonts w:hint="eastAsia"/>
        </w:rPr>
        <w:t xml:space="preserve"> 计量</w:t>
      </w:r>
      <w:bookmarkEnd w:id="550"/>
    </w:p>
    <w:p>
      <w:pPr>
        <w:spacing w:line="400" w:lineRule="atLeast"/>
        <w:ind w:firstLine="480" w:firstLineChars="200"/>
        <w:rPr>
          <w:sz w:val="24"/>
        </w:rPr>
      </w:pPr>
      <w:r>
        <w:rPr>
          <w:sz w:val="24"/>
        </w:rPr>
        <w:t>17.1.5</w:t>
      </w:r>
      <w:r>
        <w:rPr>
          <w:rFonts w:hint="eastAsia"/>
          <w:sz w:val="24"/>
        </w:rPr>
        <w:t xml:space="preserve"> 本项目</w:t>
      </w:r>
      <w:r>
        <w:rPr>
          <w:sz w:val="24"/>
        </w:rPr>
        <w:t>工程量清单中</w:t>
      </w:r>
      <w:r>
        <w:rPr>
          <w:rFonts w:hint="eastAsia"/>
          <w:sz w:val="24"/>
        </w:rPr>
        <w:t>总额价子目的支付原则和支付进度：</w:t>
      </w:r>
      <w:r>
        <w:rPr>
          <w:sz w:val="24"/>
          <w:u w:val="single"/>
        </w:rPr>
        <w:t xml:space="preserve">            </w:t>
      </w:r>
    </w:p>
    <w:p>
      <w:pPr>
        <w:rPr>
          <w:b/>
        </w:rPr>
      </w:pPr>
      <w:bookmarkStart w:id="551" w:name="_Toc9353019"/>
      <w:bookmarkStart w:id="552" w:name="_Toc234833228"/>
      <w:r>
        <w:t>17.3 工程进度付款</w:t>
      </w:r>
      <w:bookmarkEnd w:id="551"/>
    </w:p>
    <w:p>
      <w:pPr>
        <w:spacing w:line="420" w:lineRule="atLeast"/>
        <w:ind w:firstLine="470" w:firstLineChars="196"/>
        <w:rPr>
          <w:sz w:val="24"/>
          <w:u w:val="single"/>
        </w:rPr>
      </w:pPr>
      <w:r>
        <w:rPr>
          <w:rFonts w:hint="eastAsia"/>
          <w:sz w:val="24"/>
        </w:rPr>
        <w:t>17.3.5 农民工工资保证金的缴存时间：</w:t>
      </w:r>
      <w:r>
        <w:rPr>
          <w:sz w:val="24"/>
          <w:u w:val="single"/>
        </w:rPr>
        <w:t xml:space="preserve">                       </w:t>
      </w:r>
    </w:p>
    <w:p>
      <w:pPr>
        <w:spacing w:line="420" w:lineRule="atLeast"/>
        <w:ind w:firstLine="470" w:firstLineChars="196"/>
        <w:rPr>
          <w:sz w:val="24"/>
        </w:rPr>
      </w:pPr>
      <w:r>
        <w:rPr>
          <w:rFonts w:hint="eastAsia"/>
          <w:sz w:val="24"/>
        </w:rPr>
        <w:t>农民工工资保证金的缴存金额：</w:t>
      </w:r>
      <w:r>
        <w:rPr>
          <w:sz w:val="24"/>
          <w:u w:val="single"/>
        </w:rPr>
        <w:t xml:space="preserve">                       </w:t>
      </w:r>
    </w:p>
    <w:p>
      <w:pPr>
        <w:spacing w:line="420" w:lineRule="atLeast"/>
        <w:ind w:firstLine="470" w:firstLineChars="196"/>
        <w:rPr>
          <w:sz w:val="24"/>
          <w:u w:val="single"/>
        </w:rPr>
      </w:pPr>
      <w:r>
        <w:rPr>
          <w:rFonts w:hint="eastAsia"/>
          <w:sz w:val="24"/>
        </w:rPr>
        <w:t>农民工工资保证金的扣留条件：</w:t>
      </w:r>
      <w:r>
        <w:rPr>
          <w:sz w:val="24"/>
          <w:u w:val="single"/>
        </w:rPr>
        <w:t xml:space="preserve">                       </w:t>
      </w:r>
    </w:p>
    <w:p>
      <w:pPr>
        <w:widowControl/>
        <w:spacing w:line="420" w:lineRule="atLeast"/>
        <w:ind w:firstLine="480" w:firstLineChars="200"/>
        <w:rPr>
          <w:rFonts w:eastAsia="黑体"/>
          <w:b/>
          <w:sz w:val="24"/>
        </w:rPr>
      </w:pPr>
      <w:r>
        <w:rPr>
          <w:rFonts w:hint="eastAsia"/>
          <w:sz w:val="24"/>
        </w:rPr>
        <w:t>农民工工资保证金的返还时间：</w:t>
      </w:r>
      <w:r>
        <w:rPr>
          <w:sz w:val="24"/>
          <w:u w:val="single"/>
        </w:rPr>
        <w:t xml:space="preserve">                       </w:t>
      </w:r>
    </w:p>
    <w:p>
      <w:pPr>
        <w:rPr>
          <w:b/>
        </w:rPr>
      </w:pPr>
      <w:bookmarkStart w:id="553" w:name="_Toc9353020"/>
      <w:r>
        <w:t>21.1 不可抗力的确认</w:t>
      </w:r>
      <w:bookmarkEnd w:id="552"/>
      <w:bookmarkEnd w:id="553"/>
    </w:p>
    <w:p>
      <w:pPr>
        <w:spacing w:line="400" w:lineRule="atLeast"/>
        <w:ind w:firstLine="480" w:firstLineChars="200"/>
        <w:rPr>
          <w:sz w:val="24"/>
          <w:u w:val="single"/>
        </w:rPr>
      </w:pPr>
      <w:r>
        <w:rPr>
          <w:sz w:val="24"/>
        </w:rPr>
        <w:t>21.1.1 （6）不可抗力的其他情形：</w:t>
      </w:r>
      <w:r>
        <w:rPr>
          <w:sz w:val="24"/>
          <w:u w:val="single"/>
        </w:rPr>
        <w:t xml:space="preserve">                            </w:t>
      </w:r>
    </w:p>
    <w:p>
      <w:pPr>
        <w:rPr>
          <w:b/>
        </w:rPr>
      </w:pPr>
      <w:bookmarkStart w:id="554" w:name="_Toc9353021"/>
      <w:bookmarkStart w:id="555" w:name="_Toc234833229"/>
      <w:r>
        <w:t>22.1 承包人违约</w:t>
      </w:r>
      <w:bookmarkEnd w:id="554"/>
      <w:bookmarkEnd w:id="555"/>
    </w:p>
    <w:p>
      <w:pPr>
        <w:spacing w:line="400" w:lineRule="atLeast"/>
        <w:ind w:firstLine="480" w:firstLineChars="200"/>
        <w:rPr>
          <w:sz w:val="24"/>
          <w:u w:val="single"/>
        </w:rPr>
      </w:pPr>
      <w:r>
        <w:rPr>
          <w:sz w:val="24"/>
        </w:rPr>
        <w:t>22.1.2 当承包人发生第22.1.1项约定的违约情况时，发包人有权向承包人课以违约金，具体约定如下：</w:t>
      </w:r>
      <w:r>
        <w:rPr>
          <w:sz w:val="24"/>
          <w:u w:val="single"/>
        </w:rPr>
        <w:t xml:space="preserve">                               </w:t>
      </w:r>
    </w:p>
    <w:p>
      <w:pPr>
        <w:rPr>
          <w:b/>
        </w:rPr>
      </w:pPr>
      <w:bookmarkStart w:id="556" w:name="_Toc9353022"/>
      <w:r>
        <w:t>22.2 发包人违约</w:t>
      </w:r>
      <w:bookmarkEnd w:id="556"/>
    </w:p>
    <w:p>
      <w:pPr>
        <w:spacing w:line="400" w:lineRule="atLeast"/>
        <w:ind w:firstLine="480" w:firstLineChars="200"/>
        <w:rPr>
          <w:sz w:val="24"/>
          <w:u w:val="single"/>
        </w:rPr>
      </w:pPr>
      <w:r>
        <w:rPr>
          <w:sz w:val="24"/>
        </w:rPr>
        <w:t>22.2.</w:t>
      </w:r>
      <w:r>
        <w:rPr>
          <w:rFonts w:hint="eastAsia"/>
          <w:sz w:val="24"/>
        </w:rPr>
        <w:t>2发包</w:t>
      </w:r>
      <w:r>
        <w:rPr>
          <w:sz w:val="24"/>
        </w:rPr>
        <w:t>人</w:t>
      </w:r>
      <w:r>
        <w:rPr>
          <w:rFonts w:hint="eastAsia"/>
          <w:sz w:val="24"/>
        </w:rPr>
        <w:t>无正当理由不按时返还履约保证金、质量保证金或农民工工资保证金的，发包人应向承包人支付的违约金如下：</w:t>
      </w:r>
      <w:r>
        <w:rPr>
          <w:sz w:val="24"/>
          <w:u w:val="single"/>
        </w:rPr>
        <w:t xml:space="preserve">                               </w:t>
      </w:r>
    </w:p>
    <w:p>
      <w:pPr>
        <w:spacing w:line="400" w:lineRule="atLeast"/>
        <w:ind w:firstLine="480" w:firstLineChars="200"/>
        <w:rPr>
          <w:sz w:val="24"/>
        </w:rPr>
      </w:pPr>
      <w:r>
        <w:rPr>
          <w:rFonts w:hint="eastAsia"/>
          <w:sz w:val="24"/>
        </w:rPr>
        <w:t>……</w:t>
      </w:r>
    </w:p>
    <w:p>
      <w:pPr>
        <w:ind w:firstLine="480" w:firstLineChars="200"/>
        <w:rPr>
          <w:sz w:val="24"/>
        </w:rPr>
      </w:pPr>
      <w:r>
        <w:rPr>
          <w:rFonts w:hint="eastAsia"/>
          <w:sz w:val="24"/>
        </w:rPr>
        <w:t>其他：</w:t>
      </w:r>
      <w:r>
        <w:rPr>
          <w:rFonts w:hint="eastAsia" w:ascii="宋体" w:hAnsi="宋体" w:cs="仿宋"/>
          <w:sz w:val="24"/>
        </w:rPr>
        <w:t>合同履行过程中，需要调整合同价款，增加造价3%（含）以下的由招标人、中标人协商解决；增加造价3%-5%（含）招标人应当报主管部门同意后才能调整合同价款；增加造价5%-10%（含）招标人应当报主管部门同意、行业监督部门备案后才能调整合同价款；增加造价超过中标价10%</w:t>
      </w:r>
      <w:r>
        <w:rPr>
          <w:rFonts w:hint="eastAsia" w:ascii="宋体" w:hAnsi="宋体" w:cs="仿宋"/>
          <w:sz w:val="24"/>
          <w:lang w:val="en-US" w:eastAsia="zh-CN"/>
        </w:rPr>
        <w:t>须要单独招标的，招标人应另行组织招标，</w:t>
      </w:r>
      <w:r>
        <w:rPr>
          <w:rFonts w:hint="eastAsia" w:ascii="宋体" w:hAnsi="宋体" w:cs="仿宋"/>
          <w:sz w:val="24"/>
        </w:rPr>
        <w:t>增加造价超过中标价10%</w:t>
      </w:r>
      <w:r>
        <w:rPr>
          <w:rFonts w:hint="eastAsia" w:ascii="宋体" w:hAnsi="宋体" w:cs="仿宋"/>
          <w:sz w:val="24"/>
          <w:lang w:val="en-US" w:eastAsia="zh-CN"/>
        </w:rPr>
        <w:t>无须招标的，蚌埠市、区政府投资项目须报市政府批准。</w:t>
      </w:r>
    </w:p>
    <w:p>
      <w:pPr>
        <w:rPr>
          <w:b/>
          <w:sz w:val="44"/>
          <w:szCs w:val="44"/>
        </w:rPr>
      </w:pPr>
      <w:bookmarkStart w:id="557" w:name="_Toc9353023"/>
      <w:bookmarkStart w:id="558" w:name="_Toc234833230"/>
      <w:r>
        <w:rPr>
          <w:b/>
          <w:sz w:val="44"/>
          <w:szCs w:val="44"/>
        </w:rPr>
        <w:br w:type="page"/>
      </w:r>
    </w:p>
    <w:p>
      <w:pPr>
        <w:jc w:val="center"/>
        <w:rPr>
          <w:b/>
          <w:sz w:val="44"/>
          <w:szCs w:val="44"/>
        </w:rPr>
      </w:pPr>
      <w:r>
        <w:rPr>
          <w:b/>
          <w:sz w:val="44"/>
          <w:szCs w:val="44"/>
        </w:rPr>
        <w:t>第三节  合同附件格式</w:t>
      </w:r>
      <w:bookmarkEnd w:id="557"/>
      <w:bookmarkEnd w:id="558"/>
    </w:p>
    <w:p>
      <w:pPr>
        <w:jc w:val="left"/>
        <w:rPr>
          <w:sz w:val="24"/>
        </w:rPr>
      </w:pPr>
      <w:bookmarkStart w:id="559" w:name="_Toc9353024"/>
      <w:bookmarkStart w:id="560" w:name="_Toc234833231"/>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p>
    <w:p>
      <w:pPr>
        <w:jc w:val="left"/>
        <w:rPr>
          <w:b/>
          <w:sz w:val="24"/>
        </w:rPr>
      </w:pPr>
      <w:r>
        <w:rPr>
          <w:b/>
          <w:sz w:val="24"/>
        </w:rPr>
        <w:t>附件一</w:t>
      </w:r>
      <w:r>
        <w:rPr>
          <w:rFonts w:hint="eastAsia"/>
          <w:b/>
          <w:sz w:val="24"/>
        </w:rPr>
        <w:t xml:space="preserve"> </w:t>
      </w:r>
      <w:r>
        <w:rPr>
          <w:b/>
          <w:sz w:val="24"/>
        </w:rPr>
        <w:t>合同协议书</w:t>
      </w:r>
      <w:bookmarkEnd w:id="559"/>
      <w:bookmarkEnd w:id="560"/>
    </w:p>
    <w:p>
      <w:pPr>
        <w:spacing w:line="440" w:lineRule="exact"/>
        <w:jc w:val="center"/>
        <w:rPr>
          <w:rFonts w:eastAsia="黑体"/>
          <w:sz w:val="28"/>
          <w:szCs w:val="28"/>
        </w:rPr>
      </w:pPr>
      <w:r>
        <w:rPr>
          <w:rFonts w:eastAsia="黑体"/>
          <w:sz w:val="28"/>
          <w:szCs w:val="28"/>
        </w:rPr>
        <w:t>合 同 协 议 书</w:t>
      </w:r>
    </w:p>
    <w:p>
      <w:pPr>
        <w:spacing w:line="440" w:lineRule="exact"/>
        <w:ind w:firstLine="480" w:firstLineChars="200"/>
        <w:rPr>
          <w:sz w:val="24"/>
          <w:u w:val="single"/>
        </w:rPr>
      </w:pPr>
    </w:p>
    <w:p>
      <w:pPr>
        <w:spacing w:line="440" w:lineRule="exact"/>
        <w:ind w:firstLine="480" w:firstLineChars="200"/>
        <w:rPr>
          <w:sz w:val="24"/>
        </w:rPr>
      </w:pPr>
      <w:r>
        <w:rPr>
          <w:sz w:val="24"/>
          <w:u w:val="single"/>
        </w:rPr>
        <w:t xml:space="preserve">          </w:t>
      </w:r>
      <w:r>
        <w:rPr>
          <w:sz w:val="24"/>
        </w:rPr>
        <w:t>（发包人名称，以下简称</w:t>
      </w:r>
      <w:r>
        <w:rPr>
          <w:rFonts w:hint="eastAsia"/>
          <w:sz w:val="24"/>
        </w:rPr>
        <w:t>“</w:t>
      </w:r>
      <w:r>
        <w:rPr>
          <w:sz w:val="24"/>
        </w:rPr>
        <w:t>发包人</w:t>
      </w:r>
      <w:r>
        <w:rPr>
          <w:rFonts w:hint="eastAsia"/>
          <w:sz w:val="24"/>
        </w:rPr>
        <w:t>”</w:t>
      </w:r>
      <w:r>
        <w:rPr>
          <w:sz w:val="24"/>
        </w:rPr>
        <w:t>）为实施</w:t>
      </w:r>
      <w:r>
        <w:rPr>
          <w:sz w:val="24"/>
          <w:u w:val="single"/>
        </w:rPr>
        <w:t xml:space="preserve">                  </w:t>
      </w:r>
      <w:r>
        <w:rPr>
          <w:sz w:val="24"/>
        </w:rPr>
        <w:t>（项目名称），已接受</w:t>
      </w:r>
      <w:r>
        <w:rPr>
          <w:sz w:val="24"/>
          <w:u w:val="single"/>
        </w:rPr>
        <w:t xml:space="preserve">        </w:t>
      </w:r>
      <w:r>
        <w:rPr>
          <w:sz w:val="24"/>
        </w:rPr>
        <w:t>（承包人名称，以下简称</w:t>
      </w:r>
      <w:r>
        <w:rPr>
          <w:rFonts w:hint="eastAsia"/>
          <w:sz w:val="24"/>
        </w:rPr>
        <w:t>“</w:t>
      </w:r>
      <w:r>
        <w:rPr>
          <w:sz w:val="24"/>
        </w:rPr>
        <w:t>承包人</w:t>
      </w:r>
      <w:r>
        <w:rPr>
          <w:rFonts w:hint="eastAsia"/>
          <w:sz w:val="24"/>
        </w:rPr>
        <w:t>”</w:t>
      </w:r>
      <w:r>
        <w:rPr>
          <w:sz w:val="24"/>
        </w:rPr>
        <w:t>）对该项目</w:t>
      </w:r>
      <w:r>
        <w:rPr>
          <w:sz w:val="24"/>
          <w:u w:val="single"/>
        </w:rPr>
        <w:t xml:space="preserve">        </w:t>
      </w:r>
      <w:r>
        <w:rPr>
          <w:sz w:val="24"/>
        </w:rPr>
        <w:t>标段施工的投标。发包人和承包人共同达成如下协议。</w:t>
      </w:r>
    </w:p>
    <w:p>
      <w:pPr>
        <w:spacing w:line="440" w:lineRule="exact"/>
        <w:ind w:firstLine="616" w:firstLineChars="257"/>
        <w:rPr>
          <w:sz w:val="24"/>
        </w:rPr>
      </w:pPr>
      <w:r>
        <w:rPr>
          <w:sz w:val="24"/>
        </w:rPr>
        <w:t>1. 第</w:t>
      </w:r>
      <w:r>
        <w:rPr>
          <w:sz w:val="24"/>
          <w:u w:val="single"/>
        </w:rPr>
        <w:t xml:space="preserve">   </w:t>
      </w:r>
      <w:r>
        <w:rPr>
          <w:sz w:val="24"/>
        </w:rPr>
        <w:t>标段由K</w:t>
      </w:r>
      <w:r>
        <w:rPr>
          <w:sz w:val="24"/>
          <w:u w:val="single"/>
        </w:rPr>
        <w:t xml:space="preserve">   </w:t>
      </w:r>
      <w:r>
        <w:rPr>
          <w:sz w:val="24"/>
        </w:rPr>
        <w:t>＋</w:t>
      </w:r>
      <w:r>
        <w:rPr>
          <w:sz w:val="24"/>
          <w:u w:val="single"/>
        </w:rPr>
        <w:t xml:space="preserve">   </w:t>
      </w:r>
      <w:r>
        <w:rPr>
          <w:sz w:val="24"/>
        </w:rPr>
        <w:t>至K</w:t>
      </w:r>
      <w:r>
        <w:rPr>
          <w:sz w:val="24"/>
          <w:u w:val="single"/>
        </w:rPr>
        <w:t xml:space="preserve">   </w:t>
      </w:r>
      <w:r>
        <w:rPr>
          <w:sz w:val="24"/>
        </w:rPr>
        <w:t>＋</w:t>
      </w:r>
      <w:r>
        <w:rPr>
          <w:sz w:val="24"/>
          <w:u w:val="single"/>
        </w:rPr>
        <w:t xml:space="preserve">   </w:t>
      </w:r>
      <w:r>
        <w:rPr>
          <w:sz w:val="24"/>
        </w:rPr>
        <w:t>，长约</w:t>
      </w:r>
      <w:r>
        <w:rPr>
          <w:sz w:val="24"/>
          <w:u w:val="single"/>
        </w:rPr>
        <w:t xml:space="preserve">   </w:t>
      </w:r>
      <w:r>
        <w:rPr>
          <w:sz w:val="24"/>
        </w:rPr>
        <w:t>km，公路等级为</w:t>
      </w:r>
      <w:r>
        <w:rPr>
          <w:sz w:val="24"/>
          <w:u w:val="single"/>
        </w:rPr>
        <w:t xml:space="preserve">    </w:t>
      </w:r>
      <w:r>
        <w:rPr>
          <w:sz w:val="24"/>
        </w:rPr>
        <w:t>，设计</w:t>
      </w:r>
      <w:r>
        <w:rPr>
          <w:rFonts w:hint="eastAsia"/>
          <w:sz w:val="24"/>
        </w:rPr>
        <w:t>速度</w:t>
      </w:r>
      <w:r>
        <w:rPr>
          <w:sz w:val="24"/>
        </w:rPr>
        <w:t>为</w:t>
      </w:r>
      <w:r>
        <w:rPr>
          <w:sz w:val="24"/>
          <w:u w:val="single"/>
        </w:rPr>
        <w:t xml:space="preserve">       </w:t>
      </w:r>
      <w:r>
        <w:rPr>
          <w:sz w:val="24"/>
        </w:rPr>
        <w:t>，</w:t>
      </w:r>
      <w:r>
        <w:rPr>
          <w:sz w:val="24"/>
          <w:u w:val="single"/>
        </w:rPr>
        <w:t xml:space="preserve">  </w:t>
      </w:r>
      <w:r>
        <w:rPr>
          <w:rFonts w:hint="eastAsia"/>
          <w:sz w:val="24"/>
          <w:u w:val="single"/>
        </w:rPr>
        <w:t xml:space="preserve">  </w:t>
      </w:r>
      <w:r>
        <w:rPr>
          <w:sz w:val="24"/>
          <w:u w:val="single"/>
        </w:rPr>
        <w:t xml:space="preserve"> </w:t>
      </w:r>
      <w:r>
        <w:rPr>
          <w:sz w:val="24"/>
        </w:rPr>
        <w:t>路面，有</w:t>
      </w:r>
      <w:r>
        <w:rPr>
          <w:sz w:val="24"/>
          <w:u w:val="single"/>
        </w:rPr>
        <w:t xml:space="preserve">   </w:t>
      </w:r>
      <w:r>
        <w:rPr>
          <w:sz w:val="24"/>
        </w:rPr>
        <w:t>立交</w:t>
      </w:r>
      <w:r>
        <w:rPr>
          <w:sz w:val="24"/>
          <w:u w:val="single"/>
        </w:rPr>
        <w:t xml:space="preserve">   </w:t>
      </w:r>
      <w:r>
        <w:rPr>
          <w:sz w:val="24"/>
        </w:rPr>
        <w:t>处；</w:t>
      </w:r>
      <w:r>
        <w:rPr>
          <w:rFonts w:hint="eastAsia"/>
          <w:sz w:val="24"/>
        </w:rPr>
        <w:t>特大桥</w:t>
      </w:r>
      <w:r>
        <w:rPr>
          <w:rFonts w:hint="eastAsia"/>
          <w:sz w:val="24"/>
          <w:u w:val="single"/>
        </w:rPr>
        <w:t xml:space="preserve">    </w:t>
      </w:r>
      <w:r>
        <w:rPr>
          <w:rFonts w:hint="eastAsia"/>
          <w:sz w:val="24"/>
        </w:rPr>
        <w:t>座，</w:t>
      </w:r>
      <w:r>
        <w:rPr>
          <w:sz w:val="24"/>
        </w:rPr>
        <w:t>计长</w:t>
      </w:r>
      <w:r>
        <w:rPr>
          <w:sz w:val="24"/>
          <w:u w:val="single"/>
        </w:rPr>
        <w:t xml:space="preserve">   </w:t>
      </w:r>
      <w:r>
        <w:rPr>
          <w:sz w:val="24"/>
        </w:rPr>
        <w:t>m；大中桥</w:t>
      </w:r>
      <w:r>
        <w:rPr>
          <w:sz w:val="24"/>
          <w:u w:val="single"/>
        </w:rPr>
        <w:t xml:space="preserve">   </w:t>
      </w:r>
      <w:r>
        <w:rPr>
          <w:sz w:val="24"/>
        </w:rPr>
        <w:t>座，计长</w:t>
      </w:r>
      <w:r>
        <w:rPr>
          <w:sz w:val="24"/>
          <w:u w:val="single"/>
        </w:rPr>
        <w:t xml:space="preserve">   </w:t>
      </w:r>
      <w:r>
        <w:rPr>
          <w:sz w:val="24"/>
        </w:rPr>
        <w:t>m；隧道</w:t>
      </w:r>
      <w:r>
        <w:rPr>
          <w:sz w:val="24"/>
          <w:u w:val="single"/>
        </w:rPr>
        <w:t xml:space="preserve">   </w:t>
      </w:r>
      <w:r>
        <w:rPr>
          <w:sz w:val="24"/>
        </w:rPr>
        <w:t>座，计长</w:t>
      </w:r>
      <w:r>
        <w:rPr>
          <w:sz w:val="24"/>
          <w:u w:val="single"/>
        </w:rPr>
        <w:t xml:space="preserve">   </w:t>
      </w:r>
      <w:r>
        <w:rPr>
          <w:sz w:val="24"/>
        </w:rPr>
        <w:t>m以及其他构造物工程等。</w:t>
      </w:r>
    </w:p>
    <w:p>
      <w:pPr>
        <w:spacing w:line="440" w:lineRule="exact"/>
        <w:ind w:right="34" w:rightChars="16" w:firstLine="616" w:firstLineChars="257"/>
        <w:rPr>
          <w:sz w:val="24"/>
        </w:rPr>
      </w:pPr>
      <w:r>
        <w:rPr>
          <w:sz w:val="24"/>
        </w:rPr>
        <w:t>2. 下列文件应视为构成合同文件的组成部分：</w:t>
      </w:r>
    </w:p>
    <w:p>
      <w:pPr>
        <w:spacing w:line="440" w:lineRule="exact"/>
        <w:ind w:right="34" w:rightChars="16" w:firstLine="616" w:firstLineChars="257"/>
        <w:rPr>
          <w:sz w:val="24"/>
        </w:rPr>
      </w:pPr>
      <w:r>
        <w:rPr>
          <w:sz w:val="24"/>
        </w:rPr>
        <w:t>（1）本协议书及各种合同附件（含评标期间和合同谈判过程中的澄清文件和补充资料）；</w:t>
      </w:r>
    </w:p>
    <w:p>
      <w:pPr>
        <w:spacing w:line="440" w:lineRule="exact"/>
        <w:ind w:right="34" w:rightChars="16" w:firstLine="616" w:firstLineChars="257"/>
        <w:rPr>
          <w:sz w:val="24"/>
        </w:rPr>
      </w:pPr>
      <w:r>
        <w:rPr>
          <w:sz w:val="24"/>
        </w:rPr>
        <w:t>（2）中标通知书；</w:t>
      </w:r>
    </w:p>
    <w:p>
      <w:pPr>
        <w:spacing w:line="440" w:lineRule="exact"/>
        <w:ind w:right="34" w:rightChars="16" w:firstLine="616" w:firstLineChars="257"/>
        <w:rPr>
          <w:sz w:val="24"/>
        </w:rPr>
      </w:pPr>
      <w:r>
        <w:rPr>
          <w:sz w:val="24"/>
        </w:rPr>
        <w:t>（3）投标函及投标函附录；</w:t>
      </w:r>
    </w:p>
    <w:p>
      <w:pPr>
        <w:spacing w:line="440" w:lineRule="exact"/>
        <w:ind w:right="34" w:rightChars="16" w:firstLine="616" w:firstLineChars="257"/>
        <w:rPr>
          <w:sz w:val="24"/>
        </w:rPr>
      </w:pPr>
      <w:r>
        <w:rPr>
          <w:sz w:val="24"/>
        </w:rPr>
        <w:t>（4）项目专用合同条款；</w:t>
      </w:r>
    </w:p>
    <w:p>
      <w:pPr>
        <w:spacing w:line="440" w:lineRule="exact"/>
        <w:ind w:right="34" w:rightChars="16" w:firstLine="616" w:firstLineChars="257"/>
        <w:rPr>
          <w:sz w:val="24"/>
        </w:rPr>
      </w:pPr>
      <w:r>
        <w:rPr>
          <w:sz w:val="24"/>
        </w:rPr>
        <w:t>（5）公路工程专用合同条款；</w:t>
      </w:r>
    </w:p>
    <w:p>
      <w:pPr>
        <w:spacing w:line="440" w:lineRule="exact"/>
        <w:ind w:right="34" w:rightChars="16" w:firstLine="616" w:firstLineChars="257"/>
        <w:rPr>
          <w:sz w:val="24"/>
        </w:rPr>
      </w:pPr>
      <w:r>
        <w:rPr>
          <w:sz w:val="24"/>
        </w:rPr>
        <w:t>（6）通用合同条款；</w:t>
      </w:r>
    </w:p>
    <w:p>
      <w:pPr>
        <w:spacing w:line="440" w:lineRule="exact"/>
        <w:ind w:right="34" w:rightChars="16" w:firstLine="616" w:firstLineChars="257"/>
        <w:rPr>
          <w:sz w:val="24"/>
        </w:rPr>
      </w:pPr>
      <w:r>
        <w:rPr>
          <w:sz w:val="24"/>
        </w:rPr>
        <w:t>（7）</w:t>
      </w:r>
      <w:r>
        <w:rPr>
          <w:rFonts w:hint="eastAsia"/>
          <w:sz w:val="24"/>
        </w:rPr>
        <w:t>工程量</w:t>
      </w:r>
      <w:r>
        <w:rPr>
          <w:sz w:val="24"/>
        </w:rPr>
        <w:t>清单计量规则；</w:t>
      </w:r>
    </w:p>
    <w:p>
      <w:pPr>
        <w:spacing w:line="440" w:lineRule="exact"/>
        <w:ind w:right="34" w:rightChars="16" w:firstLine="616" w:firstLineChars="257"/>
        <w:rPr>
          <w:sz w:val="24"/>
        </w:rPr>
      </w:pPr>
      <w:r>
        <w:rPr>
          <w:sz w:val="24"/>
        </w:rPr>
        <w:t>（8）技术规范；</w:t>
      </w:r>
    </w:p>
    <w:p>
      <w:pPr>
        <w:spacing w:line="440" w:lineRule="exact"/>
        <w:ind w:right="34" w:rightChars="16" w:firstLine="616" w:firstLineChars="257"/>
        <w:rPr>
          <w:sz w:val="24"/>
        </w:rPr>
      </w:pPr>
      <w:r>
        <w:rPr>
          <w:sz w:val="24"/>
        </w:rPr>
        <w:t>（9）图纸；</w:t>
      </w:r>
    </w:p>
    <w:p>
      <w:pPr>
        <w:spacing w:line="440" w:lineRule="exact"/>
        <w:ind w:right="34" w:rightChars="16" w:firstLine="616" w:firstLineChars="257"/>
        <w:rPr>
          <w:sz w:val="24"/>
        </w:rPr>
      </w:pPr>
      <w:r>
        <w:rPr>
          <w:sz w:val="24"/>
        </w:rPr>
        <w:t>（10）已标价工程量清单；</w:t>
      </w:r>
    </w:p>
    <w:p>
      <w:pPr>
        <w:spacing w:line="440" w:lineRule="exact"/>
        <w:ind w:right="34" w:rightChars="16" w:firstLine="616" w:firstLineChars="257"/>
        <w:rPr>
          <w:sz w:val="24"/>
        </w:rPr>
      </w:pPr>
      <w:r>
        <w:rPr>
          <w:sz w:val="24"/>
        </w:rPr>
        <w:t>（11）承包人有关人员、设备投入的承诺及投标文件中的施工组织设计；</w:t>
      </w:r>
    </w:p>
    <w:p>
      <w:pPr>
        <w:spacing w:line="440" w:lineRule="exact"/>
        <w:ind w:right="34" w:rightChars="16" w:firstLine="616" w:firstLineChars="257"/>
        <w:rPr>
          <w:sz w:val="24"/>
        </w:rPr>
      </w:pPr>
      <w:r>
        <w:rPr>
          <w:sz w:val="24"/>
        </w:rPr>
        <w:t>（12）其他合同文件。</w:t>
      </w:r>
    </w:p>
    <w:p>
      <w:pPr>
        <w:spacing w:line="440" w:lineRule="exact"/>
        <w:ind w:right="34" w:rightChars="16" w:firstLine="616" w:firstLineChars="257"/>
        <w:rPr>
          <w:sz w:val="24"/>
        </w:rPr>
      </w:pPr>
      <w:r>
        <w:rPr>
          <w:rFonts w:hint="eastAsia"/>
          <w:sz w:val="24"/>
        </w:rPr>
        <w:t>上述合同文件互相补充和解释。如果合同文件之间存在矛盾或不一致之处，以上述文件的排列顺序在先者为准。</w:t>
      </w:r>
    </w:p>
    <w:p>
      <w:pPr>
        <w:spacing w:line="440" w:lineRule="exact"/>
        <w:ind w:right="34" w:rightChars="16" w:firstLine="616" w:firstLineChars="257"/>
        <w:rPr>
          <w:sz w:val="24"/>
        </w:rPr>
      </w:pPr>
      <w:r>
        <w:rPr>
          <w:sz w:val="24"/>
        </w:rPr>
        <w:t>3. 根据工程量清单所列的预计数量和单价或总额价计算的签约合同价：人民币（大写）________元（¥________）。</w:t>
      </w:r>
    </w:p>
    <w:p>
      <w:pPr>
        <w:spacing w:line="440" w:lineRule="exact"/>
        <w:ind w:right="34" w:rightChars="16" w:firstLine="616" w:firstLineChars="257"/>
        <w:rPr>
          <w:sz w:val="24"/>
          <w:u w:val="single"/>
        </w:rPr>
      </w:pPr>
      <w:r>
        <w:rPr>
          <w:sz w:val="24"/>
        </w:rPr>
        <w:t>4. 承包人项目经理：</w:t>
      </w:r>
      <w:r>
        <w:rPr>
          <w:sz w:val="24"/>
          <w:u w:val="single"/>
        </w:rPr>
        <w:t xml:space="preserve">            </w:t>
      </w:r>
      <w:r>
        <w:rPr>
          <w:sz w:val="24"/>
        </w:rPr>
        <w:t>。承包人项目总工：</w:t>
      </w:r>
      <w:r>
        <w:rPr>
          <w:sz w:val="24"/>
          <w:u w:val="single"/>
        </w:rPr>
        <w:t xml:space="preserve">                </w:t>
      </w:r>
      <w:r>
        <w:rPr>
          <w:sz w:val="24"/>
        </w:rPr>
        <w:t>。</w:t>
      </w:r>
    </w:p>
    <w:p>
      <w:pPr>
        <w:spacing w:line="440" w:lineRule="exact"/>
        <w:ind w:right="34" w:rightChars="16" w:firstLine="616" w:firstLineChars="257"/>
        <w:rPr>
          <w:sz w:val="24"/>
        </w:rPr>
      </w:pPr>
      <w:r>
        <w:rPr>
          <w:sz w:val="24"/>
        </w:rPr>
        <w:t>5. 工程质量符合</w:t>
      </w:r>
      <w:r>
        <w:rPr>
          <w:sz w:val="24"/>
          <w:u w:val="single"/>
        </w:rPr>
        <w:t xml:space="preserve">             </w:t>
      </w:r>
      <w:r>
        <w:rPr>
          <w:sz w:val="24"/>
        </w:rPr>
        <w:t>标准。</w:t>
      </w:r>
      <w:r>
        <w:rPr>
          <w:rFonts w:hint="eastAsia"/>
          <w:sz w:val="24"/>
        </w:rPr>
        <w:t>工程</w:t>
      </w:r>
      <w:r>
        <w:rPr>
          <w:sz w:val="24"/>
        </w:rPr>
        <w:t>安全目标：</w:t>
      </w:r>
      <w:r>
        <w:rPr>
          <w:sz w:val="24"/>
          <w:u w:val="single"/>
        </w:rPr>
        <w:t xml:space="preserve">                </w:t>
      </w:r>
      <w:r>
        <w:rPr>
          <w:sz w:val="24"/>
        </w:rPr>
        <w:t>。</w:t>
      </w:r>
    </w:p>
    <w:p>
      <w:pPr>
        <w:spacing w:line="440" w:lineRule="exact"/>
        <w:ind w:right="34" w:rightChars="16" w:firstLine="616" w:firstLineChars="257"/>
        <w:rPr>
          <w:sz w:val="24"/>
        </w:rPr>
      </w:pPr>
      <w:r>
        <w:rPr>
          <w:sz w:val="24"/>
        </w:rPr>
        <w:t>6. 承包人承诺按合同约定承担工程的实施、完成及缺陷修复。</w:t>
      </w:r>
    </w:p>
    <w:p>
      <w:pPr>
        <w:spacing w:line="440" w:lineRule="exact"/>
        <w:ind w:right="34" w:rightChars="16" w:firstLine="616" w:firstLineChars="257"/>
        <w:rPr>
          <w:sz w:val="24"/>
        </w:rPr>
      </w:pPr>
      <w:r>
        <w:rPr>
          <w:sz w:val="24"/>
        </w:rPr>
        <w:t>7. 发包人承诺按合同约定的条件、时间和方式向承包人支付合同价款。</w:t>
      </w:r>
    </w:p>
    <w:p>
      <w:pPr>
        <w:spacing w:line="440" w:lineRule="exact"/>
        <w:ind w:right="34" w:rightChars="16" w:firstLine="616" w:firstLineChars="257"/>
        <w:rPr>
          <w:sz w:val="24"/>
        </w:rPr>
      </w:pPr>
      <w:r>
        <w:rPr>
          <w:sz w:val="24"/>
        </w:rPr>
        <w:t>8. 承包人应按照监理人指示开工，工期为</w:t>
      </w:r>
      <w:r>
        <w:rPr>
          <w:sz w:val="24"/>
          <w:u w:val="single"/>
        </w:rPr>
        <w:t xml:space="preserve">    </w:t>
      </w:r>
      <w:r>
        <w:rPr>
          <w:sz w:val="24"/>
        </w:rPr>
        <w:t>日历天。</w:t>
      </w:r>
    </w:p>
    <w:p>
      <w:pPr>
        <w:spacing w:line="440" w:lineRule="exact"/>
        <w:ind w:firstLine="616" w:firstLineChars="257"/>
        <w:rPr>
          <w:sz w:val="24"/>
        </w:rPr>
      </w:pPr>
      <w:r>
        <w:rPr>
          <w:sz w:val="24"/>
        </w:rPr>
        <w:t>9. 本协议书在承包人提供履约保证金后，由双方法定代表人或其委托代理人签署并加盖单位章后生效。全部工程完工后经交工验收合格、缺陷责任期满签发缺陷责任终止证书后失效。</w:t>
      </w:r>
    </w:p>
    <w:p>
      <w:pPr>
        <w:spacing w:line="440" w:lineRule="exact"/>
        <w:ind w:firstLine="616" w:firstLineChars="257"/>
        <w:rPr>
          <w:sz w:val="24"/>
        </w:rPr>
      </w:pPr>
      <w:r>
        <w:rPr>
          <w:sz w:val="24"/>
        </w:rPr>
        <w:t>10. 本协议书正本二份、副本____份，合同双方各执正本一份，副本____份，当正本与副本的内容不一致时，以正本为准。</w:t>
      </w:r>
    </w:p>
    <w:p>
      <w:pPr>
        <w:spacing w:line="440" w:lineRule="exact"/>
        <w:ind w:firstLine="616" w:firstLineChars="257"/>
        <w:rPr>
          <w:sz w:val="24"/>
        </w:rPr>
      </w:pPr>
      <w:r>
        <w:rPr>
          <w:sz w:val="24"/>
        </w:rPr>
        <w:t>11. 合同未尽事宜，双方另行签订补充协议。补充协议是合同的组成部分。</w:t>
      </w:r>
    </w:p>
    <w:p>
      <w:pPr>
        <w:spacing w:line="440" w:lineRule="exact"/>
        <w:rPr>
          <w:sz w:val="24"/>
        </w:rPr>
      </w:pPr>
    </w:p>
    <w:p>
      <w:pPr>
        <w:spacing w:line="440" w:lineRule="exact"/>
        <w:rPr>
          <w:sz w:val="24"/>
        </w:rPr>
      </w:pPr>
      <w:r>
        <w:rPr>
          <w:sz w:val="24"/>
        </w:rPr>
        <w:t>发包人：</w:t>
      </w:r>
      <w:r>
        <w:rPr>
          <w:sz w:val="24"/>
          <w:u w:val="single"/>
        </w:rPr>
        <w:t xml:space="preserve">               </w:t>
      </w:r>
      <w:r>
        <w:rPr>
          <w:sz w:val="24"/>
        </w:rPr>
        <w:t>（盖单位章）     承包人：</w:t>
      </w:r>
      <w:r>
        <w:rPr>
          <w:sz w:val="24"/>
          <w:u w:val="single"/>
        </w:rPr>
        <w:t xml:space="preserve">              </w:t>
      </w:r>
      <w:r>
        <w:rPr>
          <w:sz w:val="24"/>
        </w:rPr>
        <w:t>（盖单位章）</w:t>
      </w:r>
    </w:p>
    <w:p>
      <w:pPr>
        <w:spacing w:line="440" w:lineRule="exact"/>
        <w:rPr>
          <w:sz w:val="24"/>
        </w:rPr>
      </w:pPr>
      <w:r>
        <w:rPr>
          <w:sz w:val="24"/>
        </w:rPr>
        <w:t>法定代表人或其委托代理人：</w:t>
      </w:r>
      <w:r>
        <w:rPr>
          <w:sz w:val="24"/>
          <w:u w:val="single"/>
        </w:rPr>
        <w:t xml:space="preserve">  </w:t>
      </w:r>
      <w:r>
        <w:rPr>
          <w:sz w:val="24"/>
        </w:rPr>
        <w:t>（签字）  法定代表人或其委托代理人：</w:t>
      </w:r>
      <w:r>
        <w:rPr>
          <w:sz w:val="24"/>
          <w:u w:val="single"/>
        </w:rPr>
        <w:t xml:space="preserve">  </w:t>
      </w:r>
      <w:r>
        <w:rPr>
          <w:sz w:val="24"/>
        </w:rPr>
        <w:t>（签字）</w:t>
      </w:r>
    </w:p>
    <w:p>
      <w:pPr>
        <w:spacing w:line="440" w:lineRule="exact"/>
        <w:ind w:firstLine="840" w:firstLineChars="350"/>
        <w:rPr>
          <w:sz w:val="24"/>
        </w:rPr>
      </w:pP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 xml:space="preserve">日   </w:t>
      </w:r>
      <w:r>
        <w:rPr>
          <w:rFonts w:hint="eastAsia"/>
          <w:sz w:val="24"/>
        </w:rPr>
        <w:t xml:space="preserve">      </w:t>
      </w:r>
      <w:r>
        <w:rPr>
          <w:sz w:val="24"/>
        </w:rPr>
        <w:t xml:space="preserve">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40" w:lineRule="exact"/>
        <w:rPr>
          <w:sz w:val="24"/>
        </w:rPr>
      </w:pPr>
    </w:p>
    <w:p>
      <w:pPr>
        <w:rPr>
          <w:b/>
        </w:rPr>
      </w:pPr>
      <w:r>
        <w:br w:type="page"/>
      </w:r>
      <w:bookmarkStart w:id="561" w:name="_Toc234833232"/>
      <w:bookmarkStart w:id="562" w:name="_Toc9353025"/>
      <w:r>
        <w:rPr>
          <w:b/>
        </w:rPr>
        <w:t>附件二</w:t>
      </w:r>
      <w:r>
        <w:rPr>
          <w:rFonts w:hint="eastAsia"/>
          <w:b/>
        </w:rPr>
        <w:t xml:space="preserve"> </w:t>
      </w:r>
      <w:r>
        <w:rPr>
          <w:b/>
        </w:rPr>
        <w:t>廉政合同</w:t>
      </w:r>
      <w:bookmarkEnd w:id="561"/>
      <w:bookmarkEnd w:id="562"/>
    </w:p>
    <w:p>
      <w:pPr>
        <w:spacing w:line="440" w:lineRule="exact"/>
        <w:jc w:val="center"/>
        <w:rPr>
          <w:rFonts w:eastAsia="黑体"/>
          <w:sz w:val="28"/>
          <w:szCs w:val="28"/>
        </w:rPr>
      </w:pPr>
      <w:r>
        <w:rPr>
          <w:rFonts w:eastAsia="黑体"/>
          <w:sz w:val="28"/>
          <w:szCs w:val="28"/>
        </w:rPr>
        <w:t>廉 政 合 同</w:t>
      </w:r>
    </w:p>
    <w:p>
      <w:pPr>
        <w:spacing w:line="400" w:lineRule="atLeast"/>
        <w:rPr>
          <w:rFonts w:eastAsia="黑体"/>
          <w:b/>
          <w:spacing w:val="30"/>
          <w:sz w:val="24"/>
        </w:rPr>
      </w:pPr>
    </w:p>
    <w:p>
      <w:pPr>
        <w:spacing w:line="400" w:lineRule="atLeast"/>
        <w:ind w:firstLine="616" w:firstLineChars="257"/>
        <w:rPr>
          <w:sz w:val="24"/>
        </w:rPr>
      </w:pPr>
      <w:r>
        <w:rPr>
          <w:sz w:val="24"/>
        </w:rPr>
        <w:t>根据《关于在交通基础设施建设中加强廉政建设的若干意见》以及有关工程建设、廉政建设的规定，为做好工程建设中的党风廉政建设，保证工程建设高效优质，保证建设资金的安全和有效使用以及投资效益，</w:t>
      </w:r>
      <w:r>
        <w:rPr>
          <w:sz w:val="24"/>
          <w:u w:val="single"/>
        </w:rPr>
        <w:t xml:space="preserve"> </w:t>
      </w:r>
      <w:r>
        <w:rPr>
          <w:rFonts w:hint="eastAsia"/>
          <w:sz w:val="24"/>
          <w:u w:val="single"/>
        </w:rPr>
        <w:t xml:space="preserve">  </w:t>
      </w:r>
      <w:r>
        <w:rPr>
          <w:sz w:val="24"/>
          <w:u w:val="single"/>
        </w:rPr>
        <w:t xml:space="preserve">           </w:t>
      </w:r>
      <w:r>
        <w:rPr>
          <w:sz w:val="24"/>
        </w:rPr>
        <w:t>（项目名称）的项目法人</w:t>
      </w:r>
      <w:r>
        <w:rPr>
          <w:sz w:val="24"/>
          <w:u w:val="single"/>
        </w:rPr>
        <w:t xml:space="preserve">    </w:t>
      </w:r>
      <w:r>
        <w:rPr>
          <w:rFonts w:hint="eastAsia"/>
          <w:sz w:val="24"/>
          <w:u w:val="single"/>
        </w:rPr>
        <w:t xml:space="preserve">   </w:t>
      </w:r>
      <w:r>
        <w:rPr>
          <w:sz w:val="24"/>
          <w:u w:val="single"/>
        </w:rPr>
        <w:t xml:space="preserve">    </w:t>
      </w:r>
      <w:r>
        <w:rPr>
          <w:sz w:val="24"/>
        </w:rPr>
        <w:t>（项目法人名称，以下简称“发包人”）与该项目</w:t>
      </w:r>
      <w:r>
        <w:rPr>
          <w:sz w:val="24"/>
          <w:u w:val="single"/>
        </w:rPr>
        <w:t xml:space="preserve">     </w:t>
      </w:r>
      <w:r>
        <w:rPr>
          <w:sz w:val="24"/>
        </w:rPr>
        <w:t>标段的施工单位</w:t>
      </w:r>
      <w:r>
        <w:rPr>
          <w:sz w:val="24"/>
          <w:u w:val="single"/>
        </w:rPr>
        <w:t xml:space="preserve">      </w:t>
      </w:r>
      <w:r>
        <w:rPr>
          <w:rFonts w:hint="eastAsia"/>
          <w:sz w:val="24"/>
          <w:u w:val="single"/>
        </w:rPr>
        <w:t xml:space="preserve">      </w:t>
      </w:r>
      <w:r>
        <w:rPr>
          <w:sz w:val="24"/>
          <w:u w:val="single"/>
        </w:rPr>
        <w:t xml:space="preserve">  </w:t>
      </w:r>
      <w:r>
        <w:rPr>
          <w:sz w:val="24"/>
        </w:rPr>
        <w:t>（施工单位名称，以下简称“承包人”），特订立如下合同。</w:t>
      </w:r>
    </w:p>
    <w:p>
      <w:pPr>
        <w:spacing w:line="400" w:lineRule="atLeast"/>
        <w:ind w:firstLine="616" w:firstLineChars="257"/>
        <w:rPr>
          <w:rFonts w:eastAsia="黑体"/>
          <w:sz w:val="24"/>
        </w:rPr>
      </w:pPr>
      <w:r>
        <w:rPr>
          <w:rFonts w:eastAsia="黑体"/>
          <w:sz w:val="24"/>
        </w:rPr>
        <w:t>1. 发包人和承包人双方的权利和义务</w:t>
      </w:r>
    </w:p>
    <w:p>
      <w:pPr>
        <w:spacing w:line="400" w:lineRule="atLeast"/>
        <w:ind w:firstLine="616" w:firstLineChars="257"/>
        <w:rPr>
          <w:sz w:val="24"/>
        </w:rPr>
      </w:pPr>
      <w:r>
        <w:rPr>
          <w:sz w:val="24"/>
        </w:rPr>
        <w:t>（1）严格遵守党的政策规定和国家有关法律法规及交通运输部的有关规定。</w:t>
      </w:r>
    </w:p>
    <w:p>
      <w:pPr>
        <w:spacing w:line="400" w:lineRule="atLeast"/>
        <w:ind w:firstLine="616" w:firstLineChars="257"/>
        <w:rPr>
          <w:sz w:val="24"/>
        </w:rPr>
      </w:pPr>
      <w:r>
        <w:rPr>
          <w:sz w:val="24"/>
        </w:rPr>
        <w:t>（2）严格执行</w:t>
      </w:r>
      <w:r>
        <w:rPr>
          <w:sz w:val="24"/>
          <w:u w:val="single"/>
        </w:rPr>
        <w:t xml:space="preserve">         </w:t>
      </w:r>
      <w:r>
        <w:rPr>
          <w:sz w:val="24"/>
        </w:rPr>
        <w:t>（项目名称）</w:t>
      </w:r>
      <w:r>
        <w:rPr>
          <w:sz w:val="24"/>
          <w:u w:val="single"/>
        </w:rPr>
        <w:t xml:space="preserve">     </w:t>
      </w:r>
      <w:r>
        <w:rPr>
          <w:sz w:val="24"/>
        </w:rPr>
        <w:t>标段施工合同文件，自觉按合同办事。</w:t>
      </w:r>
    </w:p>
    <w:p>
      <w:pPr>
        <w:spacing w:line="400" w:lineRule="atLeast"/>
        <w:ind w:firstLine="616" w:firstLineChars="257"/>
        <w:rPr>
          <w:sz w:val="24"/>
        </w:rPr>
      </w:pPr>
      <w:r>
        <w:rPr>
          <w:sz w:val="24"/>
        </w:rPr>
        <w:t>（3）双方的业务活动坚持公开、公正、诚信、透明的原则（法律认定的商业秘密和合同文件另有规定除外），不得损害国家和集体利益，</w:t>
      </w:r>
      <w:r>
        <w:rPr>
          <w:rFonts w:hint="eastAsia"/>
          <w:sz w:val="24"/>
        </w:rPr>
        <w:t>不得</w:t>
      </w:r>
      <w:r>
        <w:rPr>
          <w:sz w:val="24"/>
        </w:rPr>
        <w:t>违反工程建设管理规章制度。</w:t>
      </w:r>
    </w:p>
    <w:p>
      <w:pPr>
        <w:spacing w:line="400" w:lineRule="atLeast"/>
        <w:ind w:firstLine="616" w:firstLineChars="257"/>
        <w:rPr>
          <w:sz w:val="24"/>
        </w:rPr>
      </w:pPr>
      <w:r>
        <w:rPr>
          <w:sz w:val="24"/>
        </w:rPr>
        <w:t>（4）建立健全廉政制度，开展廉政教育，设立廉政告示牌，公布举报电话，监督并认真查处违法违纪行为。</w:t>
      </w:r>
    </w:p>
    <w:p>
      <w:pPr>
        <w:spacing w:line="400" w:lineRule="atLeast"/>
        <w:ind w:firstLine="616" w:firstLineChars="257"/>
        <w:rPr>
          <w:sz w:val="24"/>
        </w:rPr>
      </w:pPr>
      <w:r>
        <w:rPr>
          <w:sz w:val="24"/>
        </w:rPr>
        <w:t>（5）发现对方在业务活动中有违反廉政规定的行为，有及时提醒对方纠正的权利和义务。</w:t>
      </w:r>
    </w:p>
    <w:p>
      <w:pPr>
        <w:spacing w:line="400" w:lineRule="atLeast"/>
        <w:ind w:firstLine="616" w:firstLineChars="257"/>
        <w:rPr>
          <w:sz w:val="24"/>
        </w:rPr>
      </w:pPr>
      <w:r>
        <w:rPr>
          <w:sz w:val="24"/>
        </w:rPr>
        <w:t>（6）发现对方严重违反本合同义务条款的行为，有向其上级有关部门举报、建议给予处理并要求告知处理结果的权利。</w:t>
      </w:r>
    </w:p>
    <w:p>
      <w:pPr>
        <w:spacing w:line="400" w:lineRule="atLeast"/>
        <w:ind w:firstLine="616" w:firstLineChars="257"/>
        <w:rPr>
          <w:rFonts w:eastAsia="黑体"/>
          <w:sz w:val="24"/>
        </w:rPr>
      </w:pPr>
      <w:r>
        <w:rPr>
          <w:rFonts w:eastAsia="黑体"/>
          <w:sz w:val="24"/>
        </w:rPr>
        <w:t>2. 发包人的义务</w:t>
      </w:r>
    </w:p>
    <w:p>
      <w:pPr>
        <w:spacing w:line="400" w:lineRule="atLeast"/>
        <w:ind w:firstLine="616" w:firstLineChars="257"/>
        <w:rPr>
          <w:sz w:val="24"/>
        </w:rPr>
      </w:pPr>
      <w:r>
        <w:rPr>
          <w:sz w:val="24"/>
        </w:rPr>
        <w:t>（1）发包人及其工作人员不得索要或接受承包人的礼金、有价证券和贵重物品，不得让承包人报销任何应由发包人或发包人工作人员个人支付的费用等。</w:t>
      </w:r>
    </w:p>
    <w:p>
      <w:pPr>
        <w:spacing w:line="400" w:lineRule="atLeast"/>
        <w:ind w:firstLine="616" w:firstLineChars="257"/>
        <w:rPr>
          <w:sz w:val="24"/>
        </w:rPr>
      </w:pPr>
      <w:r>
        <w:rPr>
          <w:sz w:val="24"/>
        </w:rPr>
        <w:t>（2）发包人工作人员不得参加承包人安排的超标准宴请和娱乐活动；不得接受承包人提供的</w:t>
      </w:r>
      <w:r>
        <w:rPr>
          <w:rFonts w:hint="eastAsia"/>
          <w:sz w:val="24"/>
        </w:rPr>
        <w:t>通信</w:t>
      </w:r>
      <w:r>
        <w:rPr>
          <w:sz w:val="24"/>
        </w:rPr>
        <w:t>工具、交通工具和高档办公用品等。</w:t>
      </w:r>
    </w:p>
    <w:p>
      <w:pPr>
        <w:spacing w:line="400" w:lineRule="atLeast"/>
        <w:ind w:firstLine="616" w:firstLineChars="257"/>
        <w:rPr>
          <w:sz w:val="24"/>
        </w:rPr>
      </w:pPr>
      <w:r>
        <w:rPr>
          <w:sz w:val="24"/>
        </w:rPr>
        <w:t>（3）发包人及其工作人员不得要求或者接受承包人为其住房装修、婚丧嫁娶活动、配偶子女的工作安排以及出国出境、旅游等提供方便等。</w:t>
      </w:r>
    </w:p>
    <w:p>
      <w:pPr>
        <w:spacing w:line="400" w:lineRule="atLeast"/>
        <w:ind w:firstLine="616" w:firstLineChars="257"/>
        <w:rPr>
          <w:sz w:val="24"/>
        </w:rPr>
      </w:pPr>
      <w:r>
        <w:rPr>
          <w:sz w:val="24"/>
        </w:rPr>
        <w:t>（4）发包人工作人员及其配偶、子女不得从事与发包人工程有关的材料设备供应、工程分包、劳务等经济活动等。</w:t>
      </w:r>
    </w:p>
    <w:p>
      <w:pPr>
        <w:spacing w:line="400" w:lineRule="atLeast"/>
        <w:ind w:firstLine="616" w:firstLineChars="257"/>
        <w:rPr>
          <w:sz w:val="24"/>
        </w:rPr>
      </w:pPr>
      <w:r>
        <w:rPr>
          <w:sz w:val="24"/>
        </w:rPr>
        <w:t>（5）发包人及其工作人员不得以任何理由向承包人推荐分包单位或推销材料，不得要求承包人购买合同规定外的材料和设备。</w:t>
      </w:r>
    </w:p>
    <w:p>
      <w:pPr>
        <w:spacing w:line="400" w:lineRule="atLeast"/>
        <w:ind w:firstLine="616" w:firstLineChars="257"/>
        <w:rPr>
          <w:sz w:val="24"/>
        </w:rPr>
      </w:pPr>
      <w:r>
        <w:rPr>
          <w:sz w:val="24"/>
        </w:rPr>
        <w:t>（6）发包人工作人员要秉公办事，不准营私舞弊，不准利用职权从事各种个人有偿中介活动和安排个人施工队伍。</w:t>
      </w:r>
    </w:p>
    <w:p>
      <w:pPr>
        <w:spacing w:line="400" w:lineRule="atLeast"/>
        <w:ind w:firstLine="616" w:firstLineChars="257"/>
        <w:rPr>
          <w:rFonts w:eastAsia="黑体"/>
          <w:sz w:val="24"/>
        </w:rPr>
      </w:pPr>
      <w:r>
        <w:rPr>
          <w:sz w:val="24"/>
        </w:rPr>
        <w:br w:type="page"/>
      </w:r>
      <w:r>
        <w:rPr>
          <w:rFonts w:eastAsia="黑体"/>
          <w:sz w:val="24"/>
        </w:rPr>
        <w:t>3. 承包人的义务</w:t>
      </w:r>
    </w:p>
    <w:p>
      <w:pPr>
        <w:spacing w:line="400" w:lineRule="atLeast"/>
        <w:ind w:firstLine="616" w:firstLineChars="257"/>
        <w:rPr>
          <w:sz w:val="24"/>
        </w:rPr>
      </w:pPr>
      <w:r>
        <w:rPr>
          <w:sz w:val="24"/>
        </w:rPr>
        <w:t>（1）承包人不得以任何理由向发包人及其工作人员行贿或馈赠礼金、有价证券、贵重礼品。</w:t>
      </w:r>
    </w:p>
    <w:p>
      <w:pPr>
        <w:spacing w:line="400" w:lineRule="atLeast"/>
        <w:ind w:firstLine="616" w:firstLineChars="257"/>
        <w:rPr>
          <w:sz w:val="24"/>
        </w:rPr>
      </w:pPr>
      <w:r>
        <w:rPr>
          <w:sz w:val="24"/>
        </w:rPr>
        <w:t>（2）承包人不得以任何名义为发包人及其工作人员报销应由发包人单位或个人支付的任何费用。</w:t>
      </w:r>
    </w:p>
    <w:p>
      <w:pPr>
        <w:spacing w:line="400" w:lineRule="atLeast"/>
        <w:ind w:firstLine="616" w:firstLineChars="257"/>
        <w:rPr>
          <w:sz w:val="24"/>
        </w:rPr>
      </w:pPr>
      <w:r>
        <w:rPr>
          <w:sz w:val="24"/>
        </w:rPr>
        <w:t>（3）承包人不得以任何理由安排发包人工作人员参加超标准宴请及娱乐活动。</w:t>
      </w:r>
    </w:p>
    <w:p>
      <w:pPr>
        <w:spacing w:line="400" w:lineRule="atLeast"/>
        <w:ind w:firstLine="616" w:firstLineChars="257"/>
        <w:rPr>
          <w:sz w:val="24"/>
        </w:rPr>
      </w:pPr>
      <w:r>
        <w:rPr>
          <w:sz w:val="24"/>
        </w:rPr>
        <w:t>（4）承包人不得为发包人单位和个人购置或提供通信工具、交通工具和高档办公用品等。</w:t>
      </w:r>
    </w:p>
    <w:p>
      <w:pPr>
        <w:spacing w:line="400" w:lineRule="atLeast"/>
        <w:ind w:firstLine="616" w:firstLineChars="257"/>
        <w:rPr>
          <w:rFonts w:eastAsia="黑体"/>
          <w:sz w:val="24"/>
        </w:rPr>
      </w:pPr>
      <w:r>
        <w:rPr>
          <w:rFonts w:eastAsia="黑体"/>
          <w:sz w:val="24"/>
        </w:rPr>
        <w:t>4. 违约责任</w:t>
      </w:r>
    </w:p>
    <w:p>
      <w:pPr>
        <w:spacing w:line="400" w:lineRule="atLeast"/>
        <w:ind w:firstLine="616" w:firstLineChars="257"/>
        <w:rPr>
          <w:sz w:val="24"/>
        </w:rPr>
      </w:pPr>
      <w:r>
        <w:rPr>
          <w:sz w:val="24"/>
        </w:rPr>
        <w:t>（1）发包人及其工作人员违反本合同第1、2条，按管理权限，依据有关规定给予党纪、政纪或组织处理；涉嫌犯罪的，移交司法机关追究刑事责任；给承包人单位造成经济损失的，应予以赔偿。</w:t>
      </w:r>
    </w:p>
    <w:p>
      <w:pPr>
        <w:spacing w:line="400" w:lineRule="atLeast"/>
        <w:ind w:firstLine="616" w:firstLineChars="257"/>
        <w:rPr>
          <w:sz w:val="24"/>
        </w:rPr>
      </w:pPr>
      <w:r>
        <w:rPr>
          <w:sz w:val="24"/>
        </w:rPr>
        <w:t>（2）承包人及其工作人员违反本合同第1、3条，按管理权限，依据有关规定给予党纪、政纪或组织处理；给发包人单位造成经济损失的，应予以赔偿；情节严重的，发包人建议交通运输主管部门给予承包人一至三年内不得进入其主管的公路建设市场的处罚。</w:t>
      </w:r>
    </w:p>
    <w:p>
      <w:pPr>
        <w:spacing w:line="400" w:lineRule="atLeast"/>
        <w:ind w:firstLine="616" w:firstLineChars="257"/>
        <w:rPr>
          <w:sz w:val="24"/>
        </w:rPr>
      </w:pPr>
      <w:r>
        <w:rPr>
          <w:rFonts w:eastAsia="黑体"/>
          <w:sz w:val="24"/>
        </w:rPr>
        <w:t>5.</w:t>
      </w:r>
      <w:r>
        <w:rPr>
          <w:sz w:val="24"/>
        </w:rPr>
        <w:t xml:space="preserve"> 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spacing w:line="400" w:lineRule="atLeast"/>
        <w:ind w:firstLine="616" w:firstLineChars="257"/>
        <w:rPr>
          <w:sz w:val="24"/>
        </w:rPr>
      </w:pPr>
      <w:r>
        <w:rPr>
          <w:rFonts w:eastAsia="黑体"/>
          <w:sz w:val="24"/>
        </w:rPr>
        <w:t xml:space="preserve">6. </w:t>
      </w:r>
      <w:r>
        <w:rPr>
          <w:sz w:val="24"/>
        </w:rPr>
        <w:t>本合同有效期为发包人和承包人签署之日起至该工程项目竣工验收后止。</w:t>
      </w:r>
    </w:p>
    <w:p>
      <w:pPr>
        <w:spacing w:line="400" w:lineRule="atLeast"/>
        <w:ind w:firstLine="616" w:firstLineChars="257"/>
        <w:rPr>
          <w:sz w:val="24"/>
        </w:rPr>
      </w:pPr>
      <w:r>
        <w:rPr>
          <w:rFonts w:eastAsia="黑体"/>
          <w:sz w:val="24"/>
        </w:rPr>
        <w:t xml:space="preserve">7. </w:t>
      </w:r>
      <w:r>
        <w:rPr>
          <w:sz w:val="24"/>
        </w:rPr>
        <w:t>本合同作为</w:t>
      </w:r>
      <w:r>
        <w:rPr>
          <w:sz w:val="24"/>
          <w:u w:val="single"/>
        </w:rPr>
        <w:t xml:space="preserve">         </w:t>
      </w:r>
      <w:r>
        <w:rPr>
          <w:sz w:val="24"/>
        </w:rPr>
        <w:t>（项目名称）</w:t>
      </w:r>
      <w:r>
        <w:rPr>
          <w:sz w:val="24"/>
          <w:u w:val="single"/>
        </w:rPr>
        <w:t xml:space="preserve">     </w:t>
      </w:r>
      <w:r>
        <w:rPr>
          <w:sz w:val="24"/>
        </w:rPr>
        <w:t>标段施工合同的附件，与工程施工合同具有同等的法律效力，经合同双方签署</w:t>
      </w:r>
      <w:r>
        <w:rPr>
          <w:rFonts w:hint="eastAsia"/>
          <w:sz w:val="24"/>
        </w:rPr>
        <w:t>后</w:t>
      </w:r>
      <w:r>
        <w:rPr>
          <w:sz w:val="24"/>
        </w:rPr>
        <w:t>立即生效。</w:t>
      </w:r>
    </w:p>
    <w:p>
      <w:pPr>
        <w:spacing w:line="400" w:lineRule="atLeast"/>
        <w:ind w:firstLine="616" w:firstLineChars="257"/>
        <w:rPr>
          <w:sz w:val="24"/>
        </w:rPr>
      </w:pPr>
      <w:r>
        <w:rPr>
          <w:rFonts w:eastAsia="黑体"/>
          <w:sz w:val="24"/>
        </w:rPr>
        <w:t>8.</w:t>
      </w:r>
      <w:r>
        <w:rPr>
          <w:sz w:val="24"/>
        </w:rPr>
        <w:t xml:space="preserve"> 本合同一式四份，由发包人和承包人各执一份，送交发包人和承包人的监督单位各一份。</w:t>
      </w:r>
    </w:p>
    <w:p>
      <w:pPr>
        <w:spacing w:line="400" w:lineRule="atLeast"/>
        <w:rPr>
          <w:sz w:val="24"/>
        </w:rPr>
      </w:pPr>
    </w:p>
    <w:p>
      <w:pPr>
        <w:spacing w:line="440" w:lineRule="exact"/>
        <w:rPr>
          <w:sz w:val="24"/>
        </w:rPr>
      </w:pPr>
      <w:r>
        <w:rPr>
          <w:sz w:val="24"/>
        </w:rPr>
        <w:t>发包人：</w:t>
      </w:r>
      <w:r>
        <w:rPr>
          <w:sz w:val="24"/>
          <w:u w:val="single"/>
        </w:rPr>
        <w:t xml:space="preserve">               </w:t>
      </w:r>
      <w:r>
        <w:rPr>
          <w:sz w:val="24"/>
        </w:rPr>
        <w:t>（盖单位章）     承包人：</w:t>
      </w:r>
      <w:r>
        <w:rPr>
          <w:sz w:val="24"/>
          <w:u w:val="single"/>
        </w:rPr>
        <w:t xml:space="preserve">              </w:t>
      </w:r>
      <w:r>
        <w:rPr>
          <w:sz w:val="24"/>
        </w:rPr>
        <w:t>（盖单位章）</w:t>
      </w:r>
    </w:p>
    <w:p>
      <w:pPr>
        <w:spacing w:line="440" w:lineRule="exact"/>
        <w:rPr>
          <w:sz w:val="24"/>
        </w:rPr>
      </w:pPr>
      <w:r>
        <w:rPr>
          <w:sz w:val="24"/>
        </w:rPr>
        <w:t>法定代表人或其委托代理人：</w:t>
      </w:r>
      <w:r>
        <w:rPr>
          <w:sz w:val="24"/>
          <w:u w:val="single"/>
        </w:rPr>
        <w:t xml:space="preserve">  </w:t>
      </w:r>
      <w:r>
        <w:rPr>
          <w:sz w:val="24"/>
        </w:rPr>
        <w:t>（签字）  法定代表人或其委托代理人：</w:t>
      </w:r>
      <w:r>
        <w:rPr>
          <w:sz w:val="24"/>
          <w:u w:val="single"/>
        </w:rPr>
        <w:t xml:space="preserve">   </w:t>
      </w:r>
      <w:r>
        <w:rPr>
          <w:sz w:val="24"/>
        </w:rPr>
        <w:t>（签字）</w:t>
      </w:r>
    </w:p>
    <w:p>
      <w:pPr>
        <w:spacing w:line="440" w:lineRule="exact"/>
        <w:ind w:firstLine="840" w:firstLineChars="350"/>
        <w:rPr>
          <w:sz w:val="24"/>
        </w:rPr>
      </w:pP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 xml:space="preserve">日   </w:t>
      </w:r>
      <w:r>
        <w:rPr>
          <w:rFonts w:hint="eastAsia"/>
          <w:sz w:val="24"/>
        </w:rPr>
        <w:t xml:space="preserve">      </w:t>
      </w:r>
      <w:r>
        <w:rPr>
          <w:sz w:val="24"/>
        </w:rPr>
        <w:t xml:space="preserve">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40" w:lineRule="exact"/>
        <w:ind w:firstLine="360" w:firstLineChars="150"/>
        <w:rPr>
          <w:sz w:val="24"/>
        </w:rPr>
      </w:pPr>
    </w:p>
    <w:p>
      <w:pPr>
        <w:spacing w:line="400" w:lineRule="atLeast"/>
        <w:rPr>
          <w:sz w:val="24"/>
          <w:u w:val="single"/>
        </w:rPr>
      </w:pPr>
      <w:r>
        <w:rPr>
          <w:sz w:val="24"/>
        </w:rPr>
        <w:t>发包人监督单位：</w:t>
      </w:r>
      <w:r>
        <w:rPr>
          <w:sz w:val="24"/>
          <w:u w:val="single"/>
        </w:rPr>
        <w:t>（全称）（盖单位章）</w:t>
      </w:r>
      <w:r>
        <w:rPr>
          <w:sz w:val="24"/>
        </w:rPr>
        <w:t xml:space="preserve">     承包人监督单位：</w:t>
      </w:r>
      <w:r>
        <w:rPr>
          <w:sz w:val="24"/>
          <w:u w:val="single"/>
        </w:rPr>
        <w:t>（全称）（盖单位章）</w:t>
      </w:r>
    </w:p>
    <w:p>
      <w:pPr>
        <w:spacing w:line="400" w:lineRule="atLeast"/>
        <w:rPr>
          <w:sz w:val="24"/>
        </w:rPr>
      </w:pPr>
    </w:p>
    <w:p>
      <w:pPr>
        <w:rPr>
          <w:b/>
        </w:rPr>
      </w:pPr>
      <w:r>
        <w:br w:type="page"/>
      </w:r>
      <w:bookmarkStart w:id="563" w:name="_Toc9353026"/>
      <w:bookmarkStart w:id="564" w:name="_Toc234833233"/>
      <w:r>
        <w:rPr>
          <w:b/>
        </w:rPr>
        <w:t>附件三</w:t>
      </w:r>
      <w:r>
        <w:rPr>
          <w:rFonts w:hint="eastAsia"/>
          <w:b/>
        </w:rPr>
        <w:t xml:space="preserve"> </w:t>
      </w:r>
      <w:r>
        <w:rPr>
          <w:b/>
        </w:rPr>
        <w:t>安全生产合同</w:t>
      </w:r>
      <w:bookmarkEnd w:id="563"/>
      <w:bookmarkEnd w:id="564"/>
    </w:p>
    <w:p>
      <w:pPr>
        <w:spacing w:line="390" w:lineRule="atLeast"/>
        <w:jc w:val="center"/>
        <w:rPr>
          <w:rFonts w:eastAsia="黑体"/>
          <w:sz w:val="28"/>
          <w:szCs w:val="28"/>
        </w:rPr>
      </w:pPr>
      <w:r>
        <w:rPr>
          <w:rFonts w:eastAsia="黑体"/>
          <w:sz w:val="28"/>
          <w:szCs w:val="28"/>
        </w:rPr>
        <w:t>安全生产合同</w:t>
      </w:r>
    </w:p>
    <w:p>
      <w:pPr>
        <w:spacing w:line="390" w:lineRule="atLeast"/>
        <w:rPr>
          <w:rFonts w:eastAsia="黑体"/>
          <w:b/>
          <w:sz w:val="24"/>
        </w:rPr>
      </w:pPr>
    </w:p>
    <w:p>
      <w:pPr>
        <w:spacing w:line="390" w:lineRule="atLeast"/>
        <w:ind w:firstLine="616" w:firstLineChars="257"/>
        <w:rPr>
          <w:sz w:val="24"/>
        </w:rPr>
      </w:pPr>
      <w:r>
        <w:rPr>
          <w:sz w:val="24"/>
        </w:rPr>
        <w:t>为在</w:t>
      </w:r>
      <w:r>
        <w:rPr>
          <w:sz w:val="24"/>
          <w:u w:val="single"/>
        </w:rPr>
        <w:t xml:space="preserve">             </w:t>
      </w:r>
      <w:r>
        <w:rPr>
          <w:sz w:val="24"/>
        </w:rPr>
        <w:t>（项目名称）</w:t>
      </w:r>
      <w:r>
        <w:rPr>
          <w:sz w:val="24"/>
          <w:u w:val="single"/>
        </w:rPr>
        <w:t xml:space="preserve">     </w:t>
      </w:r>
      <w:r>
        <w:rPr>
          <w:sz w:val="24"/>
        </w:rPr>
        <w:t>标段施工合同的实施过程中创造安全、高效的施工环境，切实搞好本项目的安全管理工作，本项目发包人</w:t>
      </w:r>
      <w:r>
        <w:rPr>
          <w:sz w:val="24"/>
          <w:u w:val="single"/>
        </w:rPr>
        <w:t xml:space="preserve">           </w:t>
      </w:r>
      <w:r>
        <w:rPr>
          <w:sz w:val="24"/>
        </w:rPr>
        <w:t>（发包人名称，以下简称“发包人”）与承包人</w:t>
      </w:r>
      <w:r>
        <w:rPr>
          <w:sz w:val="24"/>
          <w:u w:val="single"/>
        </w:rPr>
        <w:t xml:space="preserve">            </w:t>
      </w:r>
      <w:r>
        <w:rPr>
          <w:sz w:val="24"/>
        </w:rPr>
        <w:t>（承包人名称，以下简称“承包人”）特此签订安全生产合同</w:t>
      </w:r>
      <w:r>
        <w:rPr>
          <w:rFonts w:hint="eastAsia"/>
          <w:sz w:val="24"/>
        </w:rPr>
        <w:t>。</w:t>
      </w:r>
    </w:p>
    <w:p>
      <w:pPr>
        <w:spacing w:line="390" w:lineRule="atLeast"/>
        <w:ind w:firstLine="616" w:firstLineChars="257"/>
        <w:rPr>
          <w:rFonts w:eastAsia="黑体"/>
          <w:sz w:val="24"/>
        </w:rPr>
      </w:pPr>
      <w:r>
        <w:rPr>
          <w:rFonts w:eastAsia="黑体"/>
          <w:sz w:val="24"/>
        </w:rPr>
        <w:t>1.发包人职责</w:t>
      </w:r>
    </w:p>
    <w:p>
      <w:pPr>
        <w:spacing w:line="390" w:lineRule="atLeast"/>
        <w:ind w:firstLine="616" w:firstLineChars="257"/>
        <w:rPr>
          <w:sz w:val="24"/>
        </w:rPr>
      </w:pPr>
      <w:r>
        <w:rPr>
          <w:sz w:val="24"/>
        </w:rPr>
        <w:t>（1）严格遵守国家有关安全生产的法律法规，认真执行工程承包合同中的有关安全要求。</w:t>
      </w:r>
    </w:p>
    <w:p>
      <w:pPr>
        <w:spacing w:line="390" w:lineRule="atLeast"/>
        <w:ind w:firstLine="616" w:firstLineChars="257"/>
        <w:rPr>
          <w:sz w:val="24"/>
        </w:rPr>
      </w:pPr>
      <w:r>
        <w:rPr>
          <w:sz w:val="24"/>
        </w:rPr>
        <w:t>（2）按照“安全第一、预防为主</w:t>
      </w:r>
      <w:r>
        <w:rPr>
          <w:rFonts w:hint="eastAsia"/>
          <w:sz w:val="24"/>
        </w:rPr>
        <w:t>、</w:t>
      </w:r>
      <w:r>
        <w:rPr>
          <w:sz w:val="24"/>
        </w:rPr>
        <w:t>综合治理”和坚持“管生产必须管安全”的原则进行安全生产管理，做到生产与安全工作同时计划、布置、检查、总结和评比。</w:t>
      </w:r>
    </w:p>
    <w:p>
      <w:pPr>
        <w:spacing w:line="390" w:lineRule="atLeast"/>
        <w:ind w:firstLine="616" w:firstLineChars="257"/>
        <w:rPr>
          <w:sz w:val="24"/>
        </w:rPr>
      </w:pPr>
      <w:r>
        <w:rPr>
          <w:sz w:val="24"/>
        </w:rPr>
        <w:t>（3）重要的安全设施必须坚持与主体工程“三同时”的原则，即：同时设计、审批，同时施工，同时验收，投入使用。</w:t>
      </w:r>
    </w:p>
    <w:p>
      <w:pPr>
        <w:spacing w:line="390" w:lineRule="atLeast"/>
        <w:ind w:firstLine="616" w:firstLineChars="257"/>
        <w:rPr>
          <w:sz w:val="24"/>
        </w:rPr>
      </w:pPr>
      <w:r>
        <w:rPr>
          <w:sz w:val="24"/>
        </w:rPr>
        <w:t>（4）定期召开安全生产调度会，及时传达中央及地方有关安全生产的精神。</w:t>
      </w:r>
    </w:p>
    <w:p>
      <w:pPr>
        <w:spacing w:line="390" w:lineRule="atLeast"/>
        <w:ind w:firstLine="616" w:firstLineChars="257"/>
        <w:rPr>
          <w:sz w:val="24"/>
        </w:rPr>
      </w:pPr>
      <w:r>
        <w:rPr>
          <w:sz w:val="24"/>
        </w:rPr>
        <w:t>（5）组织对承包人施工现场</w:t>
      </w:r>
      <w:r>
        <w:rPr>
          <w:rFonts w:hint="eastAsia"/>
          <w:sz w:val="24"/>
        </w:rPr>
        <w:t>进行</w:t>
      </w:r>
      <w:r>
        <w:rPr>
          <w:sz w:val="24"/>
        </w:rPr>
        <w:t>安全生产检查，监督承包人及时处理发现的各种安全隐患。</w:t>
      </w:r>
    </w:p>
    <w:p>
      <w:pPr>
        <w:spacing w:line="390" w:lineRule="atLeast"/>
        <w:ind w:firstLine="616" w:firstLineChars="257"/>
        <w:rPr>
          <w:rFonts w:eastAsia="黑体"/>
          <w:sz w:val="24"/>
        </w:rPr>
      </w:pPr>
      <w:r>
        <w:rPr>
          <w:rFonts w:eastAsia="黑体"/>
          <w:sz w:val="24"/>
        </w:rPr>
        <w:t>2.承包人职责</w:t>
      </w:r>
    </w:p>
    <w:p>
      <w:pPr>
        <w:spacing w:line="390" w:lineRule="atLeast"/>
        <w:ind w:firstLine="616" w:firstLineChars="257"/>
        <w:rPr>
          <w:sz w:val="24"/>
        </w:rPr>
      </w:pPr>
      <w:r>
        <w:rPr>
          <w:sz w:val="24"/>
        </w:rPr>
        <w:t>（1）严格遵守《中华人民共和国安全生产法》《建设工程安全生产管理条例》等国家有关安全生产的法律法规</w:t>
      </w:r>
      <w:r>
        <w:rPr>
          <w:rFonts w:hint="eastAsia"/>
          <w:sz w:val="24"/>
        </w:rPr>
        <w:t>、</w:t>
      </w:r>
      <w:r>
        <w:rPr>
          <w:sz w:val="24"/>
        </w:rPr>
        <w:t>《公路水运工程安全生产监督管理办法》</w:t>
      </w:r>
      <w:r>
        <w:rPr>
          <w:rFonts w:hint="eastAsia"/>
          <w:sz w:val="24"/>
        </w:rPr>
        <w:t>和</w:t>
      </w:r>
      <w:r>
        <w:rPr>
          <w:sz w:val="24"/>
        </w:rPr>
        <w:t>《公路工程施工安全技术</w:t>
      </w:r>
      <w:r>
        <w:rPr>
          <w:rFonts w:hint="eastAsia"/>
          <w:sz w:val="24"/>
        </w:rPr>
        <w:t>规范</w:t>
      </w:r>
      <w:r>
        <w:rPr>
          <w:sz w:val="24"/>
        </w:rPr>
        <w:t>》等有关安全生产的规定。认真执行工程承包合同中的有关安全要求。</w:t>
      </w:r>
    </w:p>
    <w:p>
      <w:pPr>
        <w:spacing w:line="390" w:lineRule="atLeast"/>
        <w:ind w:firstLine="616" w:firstLineChars="257"/>
        <w:rPr>
          <w:sz w:val="24"/>
        </w:rPr>
      </w:pPr>
      <w:r>
        <w:rPr>
          <w:sz w:val="24"/>
        </w:rPr>
        <w:t>（2）坚持“安全第一、预防为主</w:t>
      </w:r>
      <w:r>
        <w:rPr>
          <w:rFonts w:hint="eastAsia"/>
          <w:sz w:val="24"/>
        </w:rPr>
        <w:t>、</w:t>
      </w:r>
      <w:r>
        <w:rPr>
          <w:sz w:val="24"/>
        </w:rPr>
        <w:t>综合治理”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spacing w:line="390" w:lineRule="atLeast"/>
        <w:ind w:firstLine="616" w:firstLineChars="257"/>
        <w:rPr>
          <w:sz w:val="24"/>
        </w:rPr>
      </w:pPr>
      <w:r>
        <w:rPr>
          <w:sz w:val="24"/>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pPr>
        <w:spacing w:line="390" w:lineRule="atLeast"/>
        <w:ind w:firstLine="616" w:firstLineChars="257"/>
        <w:rPr>
          <w:sz w:val="24"/>
        </w:rPr>
      </w:pPr>
      <w:r>
        <w:rPr>
          <w:sz w:val="24"/>
        </w:rPr>
        <w:t>（4）承包人在任何时候都应采取各种合理的预防措施，防止其员工发生任何违法、违禁、暴力或妨碍治安的行为。</w:t>
      </w:r>
    </w:p>
    <w:p>
      <w:pPr>
        <w:spacing w:line="390" w:lineRule="atLeast"/>
        <w:ind w:firstLine="616" w:firstLineChars="257"/>
        <w:rPr>
          <w:sz w:val="24"/>
        </w:rPr>
      </w:pPr>
      <w:r>
        <w:rPr>
          <w:sz w:val="24"/>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pacing w:line="390" w:lineRule="atLeast"/>
        <w:ind w:firstLine="616" w:firstLineChars="257"/>
        <w:rPr>
          <w:sz w:val="24"/>
        </w:rPr>
      </w:pPr>
      <w:r>
        <w:rPr>
          <w:sz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spacing w:line="390" w:lineRule="atLeast"/>
        <w:ind w:firstLine="616" w:firstLineChars="257"/>
        <w:rPr>
          <w:sz w:val="24"/>
        </w:rPr>
      </w:pPr>
      <w:r>
        <w:rPr>
          <w:sz w:val="24"/>
        </w:rPr>
        <w:t>（7）操作人员上岗，必须按规定穿戴防护用品。施工负责人和安全检查员应随时检查劳动防护用品的穿戴情况，不按规定穿戴防护用品的人员不得上岗。</w:t>
      </w:r>
    </w:p>
    <w:p>
      <w:pPr>
        <w:spacing w:line="390" w:lineRule="atLeast"/>
        <w:ind w:firstLine="616" w:firstLineChars="257"/>
        <w:rPr>
          <w:sz w:val="24"/>
        </w:rPr>
      </w:pPr>
      <w:r>
        <w:rPr>
          <w:sz w:val="24"/>
        </w:rPr>
        <w:t>（8）所有施工机具设备和高空作业的设备均应定期检查，并有安全员的签字记录，保证其经常处于完好状态；不合格的机具、设备和劳动保护用品严禁使用。</w:t>
      </w:r>
    </w:p>
    <w:p>
      <w:pPr>
        <w:spacing w:line="390" w:lineRule="atLeast"/>
        <w:ind w:firstLine="616" w:firstLineChars="257"/>
        <w:rPr>
          <w:sz w:val="24"/>
        </w:rPr>
      </w:pPr>
      <w:r>
        <w:rPr>
          <w:sz w:val="24"/>
        </w:rPr>
        <w:t>（9）施工中采用新技术、新工艺、新设备、新材料时，必须制定相应的安全技术措施，施工现场必须具有相关的安全标志牌。</w:t>
      </w:r>
    </w:p>
    <w:p>
      <w:pPr>
        <w:spacing w:line="390" w:lineRule="atLeast"/>
        <w:ind w:firstLine="616" w:firstLineChars="257"/>
        <w:rPr>
          <w:sz w:val="24"/>
        </w:rPr>
      </w:pPr>
      <w:r>
        <w:rPr>
          <w:sz w:val="24"/>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pPr>
        <w:spacing w:line="390" w:lineRule="atLeast"/>
        <w:ind w:firstLine="616" w:firstLineChars="257"/>
        <w:rPr>
          <w:sz w:val="24"/>
        </w:rPr>
      </w:pPr>
      <w:r>
        <w:rPr>
          <w:sz w:val="24"/>
        </w:rPr>
        <w:t>（11）安全生产费用按照</w:t>
      </w:r>
      <w:bookmarkStart w:id="565" w:name="_Toc187470650"/>
      <w:r>
        <w:rPr>
          <w:sz w:val="24"/>
        </w:rPr>
        <w:t>《公路水运工程安全生产监督管理办法</w:t>
      </w:r>
      <w:bookmarkEnd w:id="565"/>
      <w:r>
        <w:rPr>
          <w:sz w:val="24"/>
        </w:rPr>
        <w:t>》的相关规定使用和管理。</w:t>
      </w:r>
    </w:p>
    <w:p>
      <w:pPr>
        <w:spacing w:line="390" w:lineRule="atLeast"/>
        <w:ind w:firstLine="616" w:firstLineChars="257"/>
        <w:rPr>
          <w:rFonts w:eastAsia="黑体"/>
          <w:sz w:val="24"/>
        </w:rPr>
      </w:pPr>
      <w:r>
        <w:rPr>
          <w:rFonts w:eastAsia="黑体"/>
          <w:sz w:val="24"/>
        </w:rPr>
        <w:t>3.违约责任</w:t>
      </w:r>
    </w:p>
    <w:p>
      <w:pPr>
        <w:spacing w:line="390" w:lineRule="atLeast"/>
        <w:ind w:firstLine="616" w:firstLineChars="257"/>
        <w:rPr>
          <w:sz w:val="24"/>
        </w:rPr>
      </w:pPr>
      <w:r>
        <w:rPr>
          <w:sz w:val="24"/>
        </w:rPr>
        <w:t>如因发包人或承包人违约造成安全事故，将依法追究责任。</w:t>
      </w:r>
    </w:p>
    <w:p>
      <w:pPr>
        <w:spacing w:line="390" w:lineRule="atLeast"/>
        <w:ind w:firstLine="616" w:firstLineChars="257"/>
        <w:rPr>
          <w:sz w:val="24"/>
        </w:rPr>
      </w:pPr>
      <w:r>
        <w:rPr>
          <w:sz w:val="24"/>
        </w:rPr>
        <w:t>4. 本合同由双方法定代表人或其授权的代理人签署并加盖单位章后生效，全部工程竣工验收后失效。</w:t>
      </w:r>
    </w:p>
    <w:p>
      <w:pPr>
        <w:spacing w:line="390" w:lineRule="atLeast"/>
        <w:ind w:firstLine="616" w:firstLineChars="257"/>
        <w:rPr>
          <w:sz w:val="24"/>
        </w:rPr>
      </w:pPr>
      <w:r>
        <w:rPr>
          <w:sz w:val="24"/>
        </w:rPr>
        <w:t>5. 本合同正本二份、副本____份，合同双方各执正本一份，副本____份，当正本与副本的内容不一致时，以正本为准。</w:t>
      </w:r>
    </w:p>
    <w:p>
      <w:pPr>
        <w:spacing w:line="400" w:lineRule="atLeast"/>
        <w:ind w:firstLine="525"/>
        <w:rPr>
          <w:sz w:val="24"/>
        </w:rPr>
      </w:pPr>
    </w:p>
    <w:p>
      <w:pPr>
        <w:spacing w:line="400" w:lineRule="atLeast"/>
        <w:ind w:firstLine="525"/>
        <w:rPr>
          <w:sz w:val="24"/>
        </w:rPr>
      </w:pPr>
    </w:p>
    <w:p>
      <w:pPr>
        <w:spacing w:line="440" w:lineRule="exact"/>
        <w:rPr>
          <w:sz w:val="24"/>
        </w:rPr>
      </w:pPr>
      <w:r>
        <w:rPr>
          <w:sz w:val="24"/>
        </w:rPr>
        <w:t>发包人：</w:t>
      </w:r>
      <w:r>
        <w:rPr>
          <w:sz w:val="24"/>
          <w:u w:val="single"/>
        </w:rPr>
        <w:t xml:space="preserve">               </w:t>
      </w:r>
      <w:r>
        <w:rPr>
          <w:sz w:val="24"/>
        </w:rPr>
        <w:t>（盖单位章）     承包人：</w:t>
      </w:r>
      <w:r>
        <w:rPr>
          <w:sz w:val="24"/>
          <w:u w:val="single"/>
        </w:rPr>
        <w:t xml:space="preserve">              </w:t>
      </w:r>
      <w:r>
        <w:rPr>
          <w:sz w:val="24"/>
        </w:rPr>
        <w:t>（盖单位章）</w:t>
      </w:r>
    </w:p>
    <w:p>
      <w:pPr>
        <w:spacing w:line="440" w:lineRule="exact"/>
        <w:rPr>
          <w:sz w:val="24"/>
        </w:rPr>
      </w:pPr>
      <w:r>
        <w:rPr>
          <w:sz w:val="24"/>
        </w:rPr>
        <w:t>法定代表人或其委托代理人：</w:t>
      </w:r>
      <w:r>
        <w:rPr>
          <w:sz w:val="24"/>
          <w:u w:val="single"/>
        </w:rPr>
        <w:t xml:space="preserve">  </w:t>
      </w:r>
      <w:r>
        <w:rPr>
          <w:i/>
          <w:sz w:val="24"/>
        </w:rPr>
        <w:t>（</w:t>
      </w:r>
      <w:r>
        <w:rPr>
          <w:sz w:val="24"/>
        </w:rPr>
        <w:t>签字）  法定代表人或其委托代理人：</w:t>
      </w:r>
      <w:r>
        <w:rPr>
          <w:sz w:val="24"/>
          <w:u w:val="single"/>
        </w:rPr>
        <w:t xml:space="preserve">  </w:t>
      </w:r>
      <w:r>
        <w:rPr>
          <w:sz w:val="24"/>
        </w:rPr>
        <w:t>（签字）</w:t>
      </w:r>
    </w:p>
    <w:p>
      <w:pPr>
        <w:spacing w:line="440" w:lineRule="exact"/>
        <w:ind w:firstLine="840" w:firstLineChars="350"/>
        <w:rPr>
          <w:sz w:val="24"/>
        </w:rPr>
      </w:pP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 xml:space="preserve">日   </w:t>
      </w:r>
      <w:r>
        <w:rPr>
          <w:rFonts w:hint="eastAsia"/>
          <w:sz w:val="24"/>
        </w:rPr>
        <w:t xml:space="preserve">      </w:t>
      </w:r>
      <w:r>
        <w:rPr>
          <w:sz w:val="24"/>
        </w:rPr>
        <w:t xml:space="preserve">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rPr>
          <w:b/>
        </w:rPr>
      </w:pPr>
      <w:r>
        <w:br w:type="page"/>
      </w:r>
      <w:bookmarkStart w:id="566" w:name="_Toc9353027"/>
      <w:bookmarkStart w:id="567" w:name="_Toc234833234"/>
      <w:r>
        <w:rPr>
          <w:b/>
        </w:rPr>
        <w:t>附件四</w:t>
      </w:r>
      <w:r>
        <w:rPr>
          <w:rFonts w:hint="eastAsia"/>
          <w:b/>
        </w:rPr>
        <w:t xml:space="preserve"> </w:t>
      </w:r>
      <w:r>
        <w:rPr>
          <w:b/>
        </w:rPr>
        <w:t>其他管理和技术人员最低要求</w:t>
      </w:r>
      <w:r>
        <w:rPr>
          <w:rFonts w:hint="eastAsia"/>
          <w:b/>
        </w:rPr>
        <w:t xml:space="preserve"> </w:t>
      </w:r>
      <w:r>
        <w:rPr>
          <w:vertAlign w:val="superscript"/>
        </w:rPr>
        <w:footnoteReference w:id="12"/>
      </w:r>
      <w:bookmarkEnd w:id="566"/>
      <w:bookmarkEnd w:id="567"/>
    </w:p>
    <w:p>
      <w:pPr>
        <w:adjustRightInd w:val="0"/>
        <w:snapToGrid w:val="0"/>
        <w:spacing w:line="400" w:lineRule="atLeast"/>
        <w:rPr>
          <w:sz w:val="24"/>
        </w:rPr>
      </w:pPr>
    </w:p>
    <w:tbl>
      <w:tblPr>
        <w:tblStyle w:val="4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6"/>
        <w:gridCol w:w="2326"/>
        <w:gridCol w:w="4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1377" w:type="pct"/>
            <w:vAlign w:val="center"/>
          </w:tcPr>
          <w:p>
            <w:pPr>
              <w:adjustRightInd w:val="0"/>
              <w:snapToGrid w:val="0"/>
              <w:spacing w:line="400" w:lineRule="atLeast"/>
              <w:jc w:val="center"/>
              <w:rPr>
                <w:sz w:val="24"/>
              </w:rPr>
            </w:pPr>
            <w:r>
              <w:rPr>
                <w:sz w:val="24"/>
              </w:rPr>
              <w:t>人  员</w:t>
            </w:r>
          </w:p>
        </w:tc>
        <w:tc>
          <w:tcPr>
            <w:tcW w:w="1215" w:type="pct"/>
            <w:vAlign w:val="center"/>
          </w:tcPr>
          <w:p>
            <w:pPr>
              <w:adjustRightInd w:val="0"/>
              <w:snapToGrid w:val="0"/>
              <w:spacing w:line="400" w:lineRule="atLeast"/>
              <w:jc w:val="center"/>
              <w:rPr>
                <w:sz w:val="24"/>
              </w:rPr>
            </w:pPr>
            <w:r>
              <w:rPr>
                <w:sz w:val="24"/>
              </w:rPr>
              <w:t>数  量</w:t>
            </w:r>
          </w:p>
        </w:tc>
        <w:tc>
          <w:tcPr>
            <w:tcW w:w="2408" w:type="pct"/>
            <w:vAlign w:val="center"/>
          </w:tcPr>
          <w:p>
            <w:pPr>
              <w:adjustRightInd w:val="0"/>
              <w:snapToGrid w:val="0"/>
              <w:spacing w:line="400" w:lineRule="atLeast"/>
              <w:jc w:val="center"/>
              <w:rPr>
                <w:sz w:val="24"/>
              </w:rPr>
            </w:pPr>
            <w:r>
              <w:rPr>
                <w:sz w:val="24"/>
              </w:rPr>
              <w:t>资 格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7" w:type="pct"/>
            <w:vAlign w:val="center"/>
          </w:tcPr>
          <w:p>
            <w:pPr>
              <w:spacing w:line="400" w:lineRule="atLeast"/>
              <w:jc w:val="center"/>
              <w:rPr>
                <w:sz w:val="24"/>
              </w:rPr>
            </w:pPr>
          </w:p>
        </w:tc>
        <w:tc>
          <w:tcPr>
            <w:tcW w:w="1215" w:type="pct"/>
            <w:vAlign w:val="center"/>
          </w:tcPr>
          <w:p>
            <w:pPr>
              <w:adjustRightInd w:val="0"/>
              <w:snapToGrid w:val="0"/>
              <w:spacing w:line="400" w:lineRule="atLeast"/>
              <w:jc w:val="center"/>
              <w:rPr>
                <w:sz w:val="24"/>
              </w:rPr>
            </w:pPr>
          </w:p>
        </w:tc>
        <w:tc>
          <w:tcPr>
            <w:tcW w:w="2408" w:type="pct"/>
            <w:vAlign w:val="center"/>
          </w:tcPr>
          <w:p>
            <w:pPr>
              <w:spacing w:line="400" w:lineRule="atLeast"/>
              <w:rPr>
                <w:sz w:val="24"/>
              </w:rPr>
            </w:pPr>
          </w:p>
        </w:tc>
      </w:tr>
    </w:tbl>
    <w:p>
      <w:pPr>
        <w:rPr>
          <w:b/>
        </w:rPr>
      </w:pPr>
      <w:r>
        <w:br w:type="page"/>
      </w:r>
      <w:bookmarkStart w:id="568" w:name="_Toc9353028"/>
      <w:bookmarkStart w:id="569" w:name="_Toc234833235"/>
      <w:r>
        <w:rPr>
          <w:b/>
        </w:rPr>
        <w:t>附件五</w:t>
      </w:r>
      <w:r>
        <w:rPr>
          <w:rFonts w:hint="eastAsia"/>
          <w:b/>
        </w:rPr>
        <w:t xml:space="preserve"> </w:t>
      </w:r>
      <w:r>
        <w:rPr>
          <w:b/>
        </w:rPr>
        <w:t>主要机械设备和试验检测设备最低要求</w:t>
      </w:r>
      <w:r>
        <w:rPr>
          <w:vertAlign w:val="superscript"/>
        </w:rPr>
        <w:footnoteReference w:id="13"/>
      </w:r>
      <w:bookmarkEnd w:id="568"/>
      <w:bookmarkEnd w:id="569"/>
    </w:p>
    <w:p>
      <w:pPr>
        <w:adjustRightInd w:val="0"/>
        <w:snapToGrid w:val="0"/>
        <w:spacing w:line="400" w:lineRule="atLeast"/>
        <w:rPr>
          <w:bCs/>
        </w:rPr>
      </w:pPr>
    </w:p>
    <w:tbl>
      <w:tblPr>
        <w:tblStyle w:val="49"/>
        <w:tblW w:w="48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2"/>
        <w:gridCol w:w="2955"/>
        <w:gridCol w:w="1492"/>
        <w:gridCol w:w="2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vAlign w:val="center"/>
          </w:tcPr>
          <w:p>
            <w:pPr>
              <w:adjustRightInd w:val="0"/>
              <w:snapToGrid w:val="0"/>
              <w:spacing w:line="400" w:lineRule="atLeast"/>
              <w:jc w:val="center"/>
              <w:rPr>
                <w:sz w:val="24"/>
              </w:rPr>
            </w:pPr>
            <w:r>
              <w:rPr>
                <w:sz w:val="24"/>
              </w:rPr>
              <w:t>设备名称</w:t>
            </w:r>
          </w:p>
        </w:tc>
        <w:tc>
          <w:tcPr>
            <w:tcW w:w="1604" w:type="pct"/>
            <w:vAlign w:val="center"/>
          </w:tcPr>
          <w:p>
            <w:pPr>
              <w:adjustRightInd w:val="0"/>
              <w:snapToGrid w:val="0"/>
              <w:spacing w:line="400" w:lineRule="atLeast"/>
              <w:jc w:val="center"/>
              <w:rPr>
                <w:sz w:val="24"/>
              </w:rPr>
            </w:pPr>
            <w:r>
              <w:rPr>
                <w:sz w:val="24"/>
              </w:rPr>
              <w:t>规格、功率及容量</w:t>
            </w:r>
          </w:p>
        </w:tc>
        <w:tc>
          <w:tcPr>
            <w:tcW w:w="810" w:type="pct"/>
            <w:vAlign w:val="center"/>
          </w:tcPr>
          <w:p>
            <w:pPr>
              <w:adjustRightInd w:val="0"/>
              <w:snapToGrid w:val="0"/>
              <w:spacing w:line="400" w:lineRule="atLeast"/>
              <w:jc w:val="center"/>
              <w:rPr>
                <w:sz w:val="24"/>
              </w:rPr>
            </w:pPr>
            <w:r>
              <w:rPr>
                <w:sz w:val="24"/>
              </w:rPr>
              <w:t>单位</w:t>
            </w:r>
          </w:p>
        </w:tc>
        <w:tc>
          <w:tcPr>
            <w:tcW w:w="1282" w:type="pct"/>
            <w:vAlign w:val="center"/>
          </w:tcPr>
          <w:p>
            <w:pPr>
              <w:adjustRightInd w:val="0"/>
              <w:snapToGrid w:val="0"/>
              <w:spacing w:line="400" w:lineRule="atLeast"/>
              <w:jc w:val="center"/>
              <w:rPr>
                <w:sz w:val="24"/>
              </w:rPr>
            </w:pPr>
            <w:r>
              <w:rPr>
                <w:sz w:val="24"/>
              </w:rPr>
              <w:t>最低数量要求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vAlign w:val="center"/>
          </w:tcPr>
          <w:p>
            <w:pPr>
              <w:adjustRightInd w:val="0"/>
              <w:snapToGrid w:val="0"/>
              <w:spacing w:line="400" w:lineRule="atLeast"/>
              <w:jc w:val="center"/>
              <w:rPr>
                <w:sz w:val="24"/>
              </w:rPr>
            </w:pPr>
          </w:p>
        </w:tc>
        <w:tc>
          <w:tcPr>
            <w:tcW w:w="1604" w:type="pct"/>
            <w:vAlign w:val="center"/>
          </w:tcPr>
          <w:p>
            <w:pPr>
              <w:spacing w:line="400" w:lineRule="atLeast"/>
              <w:rPr>
                <w:sz w:val="24"/>
              </w:rPr>
            </w:pPr>
          </w:p>
        </w:tc>
        <w:tc>
          <w:tcPr>
            <w:tcW w:w="810" w:type="pct"/>
            <w:vAlign w:val="center"/>
          </w:tcPr>
          <w:p>
            <w:pPr>
              <w:adjustRightInd w:val="0"/>
              <w:snapToGrid w:val="0"/>
              <w:spacing w:line="400" w:lineRule="atLeast"/>
              <w:jc w:val="center"/>
              <w:rPr>
                <w:sz w:val="24"/>
              </w:rPr>
            </w:pPr>
          </w:p>
        </w:tc>
        <w:tc>
          <w:tcPr>
            <w:tcW w:w="1282"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vAlign w:val="center"/>
          </w:tcPr>
          <w:p>
            <w:pPr>
              <w:adjustRightInd w:val="0"/>
              <w:snapToGrid w:val="0"/>
              <w:spacing w:line="400" w:lineRule="atLeast"/>
              <w:jc w:val="center"/>
              <w:rPr>
                <w:sz w:val="24"/>
              </w:rPr>
            </w:pPr>
          </w:p>
        </w:tc>
        <w:tc>
          <w:tcPr>
            <w:tcW w:w="1604" w:type="pct"/>
            <w:vAlign w:val="center"/>
          </w:tcPr>
          <w:p>
            <w:pPr>
              <w:spacing w:line="400" w:lineRule="atLeast"/>
              <w:rPr>
                <w:sz w:val="24"/>
              </w:rPr>
            </w:pPr>
          </w:p>
        </w:tc>
        <w:tc>
          <w:tcPr>
            <w:tcW w:w="810" w:type="pct"/>
            <w:vAlign w:val="center"/>
          </w:tcPr>
          <w:p>
            <w:pPr>
              <w:adjustRightInd w:val="0"/>
              <w:snapToGrid w:val="0"/>
              <w:spacing w:line="400" w:lineRule="atLeast"/>
              <w:jc w:val="center"/>
              <w:rPr>
                <w:sz w:val="24"/>
              </w:rPr>
            </w:pPr>
          </w:p>
        </w:tc>
        <w:tc>
          <w:tcPr>
            <w:tcW w:w="1282"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vAlign w:val="center"/>
          </w:tcPr>
          <w:p>
            <w:pPr>
              <w:adjustRightInd w:val="0"/>
              <w:snapToGrid w:val="0"/>
              <w:spacing w:line="400" w:lineRule="atLeast"/>
              <w:jc w:val="center"/>
              <w:rPr>
                <w:sz w:val="24"/>
              </w:rPr>
            </w:pPr>
          </w:p>
        </w:tc>
        <w:tc>
          <w:tcPr>
            <w:tcW w:w="1604" w:type="pct"/>
            <w:vAlign w:val="center"/>
          </w:tcPr>
          <w:p>
            <w:pPr>
              <w:spacing w:line="400" w:lineRule="atLeast"/>
              <w:rPr>
                <w:sz w:val="24"/>
              </w:rPr>
            </w:pPr>
          </w:p>
        </w:tc>
        <w:tc>
          <w:tcPr>
            <w:tcW w:w="810" w:type="pct"/>
            <w:vAlign w:val="center"/>
          </w:tcPr>
          <w:p>
            <w:pPr>
              <w:adjustRightInd w:val="0"/>
              <w:snapToGrid w:val="0"/>
              <w:spacing w:line="400" w:lineRule="atLeast"/>
              <w:jc w:val="center"/>
              <w:rPr>
                <w:sz w:val="24"/>
              </w:rPr>
            </w:pPr>
          </w:p>
        </w:tc>
        <w:tc>
          <w:tcPr>
            <w:tcW w:w="1282" w:type="pct"/>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604"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c>
          <w:tcPr>
            <w:tcW w:w="8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282"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604"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c>
          <w:tcPr>
            <w:tcW w:w="8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282"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604"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c>
          <w:tcPr>
            <w:tcW w:w="8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282"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604"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c>
          <w:tcPr>
            <w:tcW w:w="8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282"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604"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c>
          <w:tcPr>
            <w:tcW w:w="8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282"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604"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c>
          <w:tcPr>
            <w:tcW w:w="8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282"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604"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c>
          <w:tcPr>
            <w:tcW w:w="8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282"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604"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c>
          <w:tcPr>
            <w:tcW w:w="8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282"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604"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c>
          <w:tcPr>
            <w:tcW w:w="8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282"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604"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c>
          <w:tcPr>
            <w:tcW w:w="8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282"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604"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c>
          <w:tcPr>
            <w:tcW w:w="8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282"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604"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c>
          <w:tcPr>
            <w:tcW w:w="81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atLeast"/>
              <w:jc w:val="center"/>
              <w:rPr>
                <w:sz w:val="24"/>
              </w:rPr>
            </w:pPr>
          </w:p>
        </w:tc>
        <w:tc>
          <w:tcPr>
            <w:tcW w:w="1282" w:type="pct"/>
            <w:tcBorders>
              <w:top w:val="single" w:color="auto" w:sz="4" w:space="0"/>
              <w:left w:val="single" w:color="auto" w:sz="4" w:space="0"/>
              <w:bottom w:val="single" w:color="auto" w:sz="4" w:space="0"/>
              <w:right w:val="single" w:color="auto" w:sz="4" w:space="0"/>
            </w:tcBorders>
            <w:vAlign w:val="center"/>
          </w:tcPr>
          <w:p>
            <w:pPr>
              <w:spacing w:line="400" w:lineRule="atLeast"/>
              <w:rPr>
                <w:sz w:val="24"/>
              </w:rPr>
            </w:pPr>
          </w:p>
        </w:tc>
      </w:tr>
    </w:tbl>
    <w:p>
      <w:pPr>
        <w:spacing w:line="400" w:lineRule="atLeast"/>
        <w:rPr>
          <w:rFonts w:eastAsia="黑体"/>
          <w:sz w:val="24"/>
        </w:rPr>
      </w:pPr>
    </w:p>
    <w:p>
      <w:bookmarkStart w:id="570" w:name="_Toc9353029"/>
      <w:bookmarkStart w:id="571" w:name="_Toc234833236"/>
    </w:p>
    <w:p/>
    <w:p/>
    <w:p/>
    <w:p>
      <w:pPr>
        <w:rPr>
          <w:b/>
        </w:rPr>
      </w:pPr>
      <w:r>
        <w:rPr>
          <w:b/>
        </w:rPr>
        <w:t>附件六</w:t>
      </w:r>
      <w:r>
        <w:rPr>
          <w:rFonts w:hint="eastAsia"/>
          <w:b/>
        </w:rPr>
        <w:t xml:space="preserve"> </w:t>
      </w:r>
      <w:r>
        <w:rPr>
          <w:b/>
        </w:rPr>
        <w:t>项目经理委任书</w:t>
      </w:r>
      <w:bookmarkEnd w:id="570"/>
      <w:bookmarkEnd w:id="571"/>
    </w:p>
    <w:p>
      <w:pPr>
        <w:snapToGrid w:val="0"/>
        <w:spacing w:line="400" w:lineRule="atLeast"/>
        <w:jc w:val="center"/>
        <w:rPr>
          <w:rFonts w:eastAsia="黑体"/>
          <w:sz w:val="28"/>
          <w:szCs w:val="28"/>
          <w:u w:val="single"/>
        </w:rPr>
      </w:pPr>
      <w:r>
        <w:rPr>
          <w:rFonts w:eastAsia="黑体"/>
          <w:sz w:val="28"/>
          <w:szCs w:val="28"/>
          <w:u w:val="single"/>
        </w:rPr>
        <w:t>（承包人全称）</w:t>
      </w:r>
    </w:p>
    <w:p>
      <w:pPr>
        <w:snapToGrid w:val="0"/>
        <w:spacing w:line="400" w:lineRule="atLeast"/>
        <w:jc w:val="center"/>
        <w:rPr>
          <w:rFonts w:eastAsia="黑体"/>
          <w:sz w:val="28"/>
          <w:szCs w:val="28"/>
        </w:rPr>
      </w:pPr>
      <w:r>
        <w:rPr>
          <w:rFonts w:eastAsia="黑体"/>
          <w:sz w:val="28"/>
          <w:szCs w:val="28"/>
          <w:u w:val="single"/>
        </w:rPr>
        <w:t xml:space="preserve">（合同工程名称） </w:t>
      </w:r>
      <w:r>
        <w:rPr>
          <w:rFonts w:eastAsia="黑体"/>
          <w:sz w:val="28"/>
          <w:szCs w:val="28"/>
        </w:rPr>
        <w:t>项目经理委任书</w:t>
      </w:r>
    </w:p>
    <w:p>
      <w:pPr>
        <w:snapToGrid w:val="0"/>
        <w:spacing w:line="400" w:lineRule="atLeast"/>
        <w:rPr>
          <w:rFonts w:eastAsia="黑体"/>
          <w:sz w:val="24"/>
        </w:rPr>
      </w:pPr>
    </w:p>
    <w:p>
      <w:pPr>
        <w:snapToGrid w:val="0"/>
        <w:spacing w:line="400" w:lineRule="atLeast"/>
        <w:rPr>
          <w:rFonts w:eastAsia="黑体"/>
          <w:sz w:val="24"/>
        </w:rPr>
      </w:pPr>
    </w:p>
    <w:p>
      <w:pPr>
        <w:spacing w:line="400" w:lineRule="atLeast"/>
        <w:rPr>
          <w:sz w:val="24"/>
        </w:rPr>
      </w:pPr>
      <w:r>
        <w:rPr>
          <w:sz w:val="24"/>
        </w:rPr>
        <w:t>致：</w:t>
      </w:r>
      <w:r>
        <w:rPr>
          <w:sz w:val="24"/>
          <w:u w:val="single"/>
        </w:rPr>
        <w:t>（发包人全称）</w:t>
      </w:r>
    </w:p>
    <w:p>
      <w:pPr>
        <w:spacing w:line="400" w:lineRule="atLeast"/>
        <w:ind w:firstLine="616" w:firstLineChars="257"/>
        <w:rPr>
          <w:sz w:val="24"/>
        </w:rPr>
      </w:pPr>
      <w:r>
        <w:rPr>
          <w:sz w:val="24"/>
          <w:u w:val="single"/>
        </w:rPr>
        <w:t xml:space="preserve">  （承包人全称） </w:t>
      </w:r>
      <w:r>
        <w:rPr>
          <w:sz w:val="24"/>
        </w:rPr>
        <w:t>法定代表人</w:t>
      </w:r>
      <w:r>
        <w:rPr>
          <w:sz w:val="24"/>
          <w:u w:val="single"/>
        </w:rPr>
        <w:t xml:space="preserve"> （职务、姓名） </w:t>
      </w:r>
      <w:r>
        <w:rPr>
          <w:sz w:val="24"/>
        </w:rPr>
        <w:t>代表本单位委任</w:t>
      </w:r>
      <w:r>
        <w:rPr>
          <w:sz w:val="24"/>
          <w:u w:val="single"/>
        </w:rPr>
        <w:t xml:space="preserve"> （职务、姓名） </w:t>
      </w:r>
      <w:r>
        <w:rPr>
          <w:sz w:val="24"/>
        </w:rPr>
        <w:t>为</w:t>
      </w:r>
      <w:r>
        <w:rPr>
          <w:sz w:val="24"/>
          <w:u w:val="single"/>
        </w:rPr>
        <w:t>（合同工程名称）</w:t>
      </w:r>
      <w:r>
        <w:rPr>
          <w:sz w:val="24"/>
        </w:rPr>
        <w:t>的项目经理。凡本合同执行中的有关技术、工程进度、现场管理、质量检验、结算与支付等方面工作，由</w:t>
      </w:r>
      <w:r>
        <w:rPr>
          <w:sz w:val="24"/>
          <w:u w:val="single"/>
        </w:rPr>
        <w:t xml:space="preserve">  （姓名） </w:t>
      </w:r>
      <w:r>
        <w:rPr>
          <w:sz w:val="24"/>
        </w:rPr>
        <w:t>代表本单位全面负责。</w:t>
      </w:r>
    </w:p>
    <w:p>
      <w:pPr>
        <w:spacing w:line="400" w:lineRule="atLeast"/>
        <w:ind w:firstLine="616" w:firstLineChars="257"/>
        <w:rPr>
          <w:sz w:val="24"/>
        </w:rPr>
      </w:pPr>
    </w:p>
    <w:p>
      <w:pPr>
        <w:snapToGrid w:val="0"/>
        <w:spacing w:line="400" w:lineRule="atLeast"/>
        <w:rPr>
          <w:sz w:val="24"/>
        </w:rPr>
      </w:pPr>
      <w:r>
        <w:rPr>
          <w:sz w:val="24"/>
        </w:rPr>
        <w:t xml:space="preserve">                                承包人：</w:t>
      </w:r>
      <w:r>
        <w:rPr>
          <w:sz w:val="24"/>
          <w:u w:val="single"/>
        </w:rPr>
        <w:t xml:space="preserve">           </w:t>
      </w:r>
      <w:r>
        <w:rPr>
          <w:rFonts w:hint="eastAsia"/>
          <w:sz w:val="24"/>
          <w:u w:val="single"/>
        </w:rPr>
        <w:t xml:space="preserve">       </w:t>
      </w:r>
      <w:r>
        <w:rPr>
          <w:sz w:val="24"/>
          <w:u w:val="single"/>
        </w:rPr>
        <w:t xml:space="preserve">   </w:t>
      </w:r>
      <w:r>
        <w:rPr>
          <w:sz w:val="24"/>
        </w:rPr>
        <w:t>（盖单位章）</w:t>
      </w:r>
    </w:p>
    <w:p>
      <w:pPr>
        <w:snapToGrid w:val="0"/>
        <w:spacing w:line="400" w:lineRule="atLeast"/>
        <w:ind w:firstLine="4603" w:firstLineChars="1918"/>
        <w:jc w:val="left"/>
        <w:rPr>
          <w:sz w:val="24"/>
          <w:u w:val="single"/>
        </w:rPr>
      </w:pPr>
      <w:r>
        <w:rPr>
          <w:sz w:val="24"/>
        </w:rPr>
        <w:t>法定代表人：</w:t>
      </w:r>
      <w:r>
        <w:rPr>
          <w:sz w:val="24"/>
          <w:u w:val="single"/>
        </w:rPr>
        <w:t xml:space="preserve">  </w:t>
      </w:r>
      <w:r>
        <w:rPr>
          <w:rFonts w:hint="eastAsia"/>
          <w:sz w:val="24"/>
          <w:u w:val="single"/>
        </w:rPr>
        <w:t xml:space="preserve">   </w:t>
      </w:r>
      <w:r>
        <w:rPr>
          <w:sz w:val="24"/>
          <w:u w:val="single"/>
        </w:rPr>
        <w:t xml:space="preserve">  （职务）   </w:t>
      </w:r>
      <w:r>
        <w:rPr>
          <w:rFonts w:hint="eastAsia"/>
          <w:sz w:val="24"/>
          <w:u w:val="single"/>
        </w:rPr>
        <w:t xml:space="preserve">    </w:t>
      </w:r>
      <w:r>
        <w:rPr>
          <w:sz w:val="24"/>
          <w:u w:val="single"/>
        </w:rPr>
        <w:t xml:space="preserve"> </w:t>
      </w:r>
    </w:p>
    <w:p>
      <w:pPr>
        <w:snapToGrid w:val="0"/>
        <w:spacing w:line="400" w:lineRule="atLeast"/>
        <w:rPr>
          <w:sz w:val="24"/>
          <w:u w:val="single"/>
        </w:rPr>
      </w:pPr>
      <w:r>
        <w:rPr>
          <w:sz w:val="24"/>
        </w:rPr>
        <w:t xml:space="preserve">                                                   </w:t>
      </w:r>
      <w:r>
        <w:rPr>
          <w:sz w:val="24"/>
          <w:u w:val="single"/>
        </w:rPr>
        <w:t xml:space="preserve">   </w:t>
      </w:r>
      <w:r>
        <w:rPr>
          <w:rFonts w:hint="eastAsia"/>
          <w:sz w:val="24"/>
          <w:u w:val="single"/>
        </w:rPr>
        <w:t xml:space="preserve">   </w:t>
      </w:r>
      <w:r>
        <w:rPr>
          <w:sz w:val="24"/>
          <w:u w:val="single"/>
        </w:rPr>
        <w:t xml:space="preserve"> （姓名）  </w:t>
      </w:r>
      <w:r>
        <w:rPr>
          <w:rFonts w:hint="eastAsia"/>
          <w:sz w:val="24"/>
          <w:u w:val="single"/>
        </w:rPr>
        <w:t xml:space="preserve">    </w:t>
      </w:r>
      <w:r>
        <w:rPr>
          <w:sz w:val="24"/>
          <w:u w:val="single"/>
        </w:rPr>
        <w:t xml:space="preserve"> </w:t>
      </w:r>
    </w:p>
    <w:p>
      <w:pPr>
        <w:snapToGrid w:val="0"/>
        <w:spacing w:line="400" w:lineRule="atLeast"/>
        <w:rPr>
          <w:sz w:val="24"/>
          <w:u w:val="single"/>
        </w:rPr>
      </w:pPr>
      <w:r>
        <w:rPr>
          <w:sz w:val="24"/>
        </w:rPr>
        <w:t xml:space="preserve">                                                   </w:t>
      </w:r>
      <w:r>
        <w:rPr>
          <w:sz w:val="24"/>
          <w:u w:val="single"/>
        </w:rPr>
        <w:t xml:space="preserve">  </w:t>
      </w:r>
      <w:r>
        <w:rPr>
          <w:rFonts w:hint="eastAsia"/>
          <w:sz w:val="24"/>
          <w:u w:val="single"/>
        </w:rPr>
        <w:t xml:space="preserve">   </w:t>
      </w:r>
      <w:r>
        <w:rPr>
          <w:sz w:val="24"/>
          <w:u w:val="single"/>
        </w:rPr>
        <w:t xml:space="preserve">  （签字）  </w:t>
      </w:r>
      <w:r>
        <w:rPr>
          <w:rFonts w:hint="eastAsia"/>
          <w:sz w:val="24"/>
          <w:u w:val="single"/>
        </w:rPr>
        <w:t xml:space="preserve">    </w:t>
      </w:r>
      <w:r>
        <w:rPr>
          <w:sz w:val="24"/>
          <w:u w:val="single"/>
        </w:rPr>
        <w:t xml:space="preserve"> </w:t>
      </w:r>
    </w:p>
    <w:p>
      <w:pPr>
        <w:snapToGrid w:val="0"/>
        <w:spacing w:line="400" w:lineRule="atLeast"/>
        <w:rPr>
          <w:sz w:val="24"/>
        </w:rPr>
      </w:pPr>
      <w:r>
        <w:rPr>
          <w:sz w:val="24"/>
        </w:rPr>
        <w:t xml:space="preserve">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napToGrid w:val="0"/>
        <w:spacing w:line="400" w:lineRule="atLeast"/>
        <w:rPr>
          <w:sz w:val="24"/>
        </w:rPr>
      </w:pPr>
    </w:p>
    <w:p>
      <w:pPr>
        <w:snapToGrid w:val="0"/>
        <w:spacing w:line="400" w:lineRule="atLeast"/>
        <w:rPr>
          <w:rFonts w:eastAsia="黑体"/>
          <w:bCs/>
          <w:kern w:val="44"/>
          <w:sz w:val="24"/>
        </w:rPr>
      </w:pPr>
      <w:r>
        <w:rPr>
          <w:sz w:val="24"/>
        </w:rPr>
        <w:t>抄送：</w:t>
      </w:r>
      <w:r>
        <w:rPr>
          <w:sz w:val="24"/>
          <w:u w:val="single"/>
        </w:rPr>
        <w:t xml:space="preserve">  （监理人）  </w:t>
      </w:r>
      <w:r>
        <w:rPr>
          <w:sz w:val="24"/>
        </w:rPr>
        <w:br w:type="page"/>
      </w:r>
      <w:r>
        <w:rPr>
          <w:rFonts w:eastAsia="黑体"/>
          <w:bCs/>
          <w:kern w:val="44"/>
          <w:sz w:val="24"/>
        </w:rPr>
        <w:t>附件七</w:t>
      </w:r>
      <w:r>
        <w:rPr>
          <w:rFonts w:hint="eastAsia" w:eastAsia="黑体"/>
          <w:bCs/>
          <w:kern w:val="44"/>
          <w:sz w:val="24"/>
        </w:rPr>
        <w:t xml:space="preserve"> </w:t>
      </w:r>
      <w:r>
        <w:rPr>
          <w:rFonts w:eastAsia="黑体"/>
          <w:bCs/>
          <w:kern w:val="44"/>
          <w:sz w:val="24"/>
        </w:rPr>
        <w:t>履约保证金格式</w:t>
      </w:r>
    </w:p>
    <w:p>
      <w:pPr>
        <w:spacing w:line="400" w:lineRule="atLeast"/>
        <w:rPr>
          <w:rFonts w:eastAsia="黑体"/>
          <w:sz w:val="24"/>
        </w:rPr>
      </w:pPr>
      <w:r>
        <w:rPr>
          <w:sz w:val="24"/>
        </w:rPr>
        <w:t>如采用银行保函，格式如下。</w:t>
      </w:r>
    </w:p>
    <w:p>
      <w:pPr>
        <w:spacing w:line="400" w:lineRule="atLeast"/>
        <w:ind w:firstLine="3360" w:firstLineChars="1200"/>
        <w:rPr>
          <w:rFonts w:eastAsia="黑体"/>
          <w:sz w:val="28"/>
          <w:szCs w:val="28"/>
        </w:rPr>
      </w:pPr>
    </w:p>
    <w:p>
      <w:pPr>
        <w:spacing w:line="400" w:lineRule="atLeast"/>
        <w:jc w:val="center"/>
        <w:rPr>
          <w:rFonts w:eastAsia="黑体"/>
          <w:sz w:val="28"/>
          <w:szCs w:val="28"/>
        </w:rPr>
      </w:pPr>
      <w:r>
        <w:rPr>
          <w:rFonts w:hint="eastAsia" w:eastAsia="黑体"/>
          <w:sz w:val="28"/>
          <w:szCs w:val="28"/>
        </w:rPr>
        <w:t>履约</w:t>
      </w:r>
      <w:r>
        <w:rPr>
          <w:rFonts w:eastAsia="黑体"/>
          <w:sz w:val="28"/>
          <w:szCs w:val="28"/>
        </w:rPr>
        <w:t>保证金</w:t>
      </w:r>
    </w:p>
    <w:p>
      <w:pPr>
        <w:spacing w:line="400" w:lineRule="atLeast"/>
        <w:rPr>
          <w:sz w:val="24"/>
        </w:rPr>
      </w:pPr>
    </w:p>
    <w:p>
      <w:pPr>
        <w:spacing w:line="400" w:lineRule="atLeast"/>
        <w:rPr>
          <w:sz w:val="24"/>
        </w:rPr>
      </w:pPr>
      <w:r>
        <w:rPr>
          <w:sz w:val="24"/>
        </w:rPr>
        <w:t xml:space="preserve"> </w:t>
      </w:r>
      <w:r>
        <w:rPr>
          <w:sz w:val="24"/>
          <w:u w:val="single"/>
        </w:rPr>
        <w:t xml:space="preserve">            </w:t>
      </w:r>
      <w:r>
        <w:rPr>
          <w:sz w:val="24"/>
          <w:u w:val="single"/>
        </w:rPr>
        <w:tab/>
      </w:r>
      <w:r>
        <w:rPr>
          <w:sz w:val="24"/>
          <w:u w:val="single"/>
        </w:rPr>
        <w:tab/>
      </w:r>
      <w:r>
        <w:rPr>
          <w:sz w:val="24"/>
          <w:u w:val="single"/>
        </w:rPr>
        <w:t xml:space="preserve">  </w:t>
      </w:r>
      <w:r>
        <w:rPr>
          <w:sz w:val="24"/>
        </w:rPr>
        <w:t>（发包人名称）：</w:t>
      </w:r>
    </w:p>
    <w:p>
      <w:pPr>
        <w:spacing w:line="400" w:lineRule="atLeast"/>
        <w:rPr>
          <w:sz w:val="24"/>
        </w:rPr>
      </w:pPr>
    </w:p>
    <w:p>
      <w:pPr>
        <w:spacing w:line="400" w:lineRule="atLeast"/>
        <w:ind w:firstLine="600" w:firstLineChars="250"/>
        <w:rPr>
          <w:sz w:val="24"/>
        </w:rPr>
      </w:pPr>
      <w:r>
        <w:rPr>
          <w:sz w:val="24"/>
        </w:rPr>
        <w:t>鉴于</w:t>
      </w:r>
      <w:r>
        <w:rPr>
          <w:sz w:val="24"/>
          <w:u w:val="single"/>
        </w:rPr>
        <w:t xml:space="preserve">                </w:t>
      </w:r>
      <w:r>
        <w:rPr>
          <w:sz w:val="24"/>
        </w:rPr>
        <w:t>（发包人名称，以下简称“发包人”）接受</w:t>
      </w:r>
      <w:r>
        <w:rPr>
          <w:sz w:val="24"/>
          <w:u w:val="single"/>
        </w:rPr>
        <w:t xml:space="preserve">        </w:t>
      </w:r>
      <w:r>
        <w:rPr>
          <w:sz w:val="24"/>
        </w:rPr>
        <w:t>（承包人名称</w:t>
      </w:r>
      <w:r>
        <w:rPr>
          <w:rFonts w:hint="eastAsia"/>
          <w:sz w:val="24"/>
        </w:rPr>
        <w:t>，</w:t>
      </w:r>
      <w:r>
        <w:rPr>
          <w:sz w:val="24"/>
        </w:rPr>
        <w:t>以下简称“承包人”）于</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日参加</w:t>
      </w:r>
      <w:r>
        <w:rPr>
          <w:sz w:val="24"/>
          <w:u w:val="single"/>
        </w:rPr>
        <w:t xml:space="preserve">           </w:t>
      </w:r>
      <w:r>
        <w:rPr>
          <w:sz w:val="24"/>
        </w:rPr>
        <w:t>（项目名称）</w:t>
      </w:r>
      <w:r>
        <w:rPr>
          <w:sz w:val="24"/>
          <w:u w:val="single"/>
        </w:rPr>
        <w:t xml:space="preserve">          </w:t>
      </w:r>
      <w:r>
        <w:rPr>
          <w:sz w:val="24"/>
        </w:rPr>
        <w:t>标段施工的投标。我方愿意无条件地、不可撤销地就承包人履行与你方订立的合同，向你方提供担保。</w:t>
      </w:r>
    </w:p>
    <w:p>
      <w:pPr>
        <w:spacing w:line="400" w:lineRule="atLeast"/>
        <w:ind w:firstLine="480" w:firstLineChars="200"/>
        <w:rPr>
          <w:sz w:val="24"/>
        </w:rPr>
      </w:pPr>
      <w:r>
        <w:rPr>
          <w:sz w:val="24"/>
        </w:rPr>
        <w:t>1. 担保金额人民币（大写）</w:t>
      </w:r>
      <w:r>
        <w:rPr>
          <w:sz w:val="24"/>
          <w:u w:val="single"/>
        </w:rPr>
        <w:t xml:space="preserve">                </w:t>
      </w:r>
      <w:r>
        <w:rPr>
          <w:sz w:val="24"/>
        </w:rPr>
        <w:t xml:space="preserve"> 元（¥</w:t>
      </w:r>
      <w:r>
        <w:rPr>
          <w:sz w:val="24"/>
          <w:u w:val="single"/>
        </w:rPr>
        <w:t xml:space="preserve">             </w:t>
      </w:r>
      <w:r>
        <w:rPr>
          <w:sz w:val="24"/>
        </w:rPr>
        <w:t>）。</w:t>
      </w:r>
    </w:p>
    <w:p>
      <w:pPr>
        <w:spacing w:line="400" w:lineRule="atLeast"/>
        <w:ind w:firstLine="480" w:firstLineChars="200"/>
        <w:rPr>
          <w:sz w:val="24"/>
        </w:rPr>
      </w:pPr>
      <w:r>
        <w:rPr>
          <w:sz w:val="24"/>
        </w:rPr>
        <w:t>2. 担保有效期自发包人与承包人签订的合同生效之日起至发包人签发交工验收证书</w:t>
      </w:r>
      <w:r>
        <w:rPr>
          <w:rFonts w:hint="eastAsia"/>
          <w:sz w:val="24"/>
        </w:rPr>
        <w:t>且承包人按照合同约定缴纳质量保证金</w:t>
      </w:r>
      <w:r>
        <w:rPr>
          <w:sz w:val="24"/>
        </w:rPr>
        <w:t>之日止。</w:t>
      </w:r>
      <w:r>
        <w:rPr>
          <w:rStyle w:val="59"/>
          <w:rFonts w:eastAsia="黑体"/>
          <w:sz w:val="28"/>
          <w:szCs w:val="28"/>
        </w:rPr>
        <w:footnoteReference w:id="14"/>
      </w:r>
    </w:p>
    <w:p>
      <w:pPr>
        <w:spacing w:line="400" w:lineRule="atLeast"/>
        <w:ind w:firstLine="480" w:firstLineChars="200"/>
        <w:rPr>
          <w:sz w:val="24"/>
        </w:rPr>
      </w:pPr>
      <w:r>
        <w:rPr>
          <w:sz w:val="24"/>
        </w:rPr>
        <w:t>3. 在本担保有效期内，因承包人违反合同约定的义务给你方造成经济损失时，我方在收到你方以书面形式提出的在担保金额内的赔偿要求后，在7</w:t>
      </w:r>
      <w:r>
        <w:rPr>
          <w:rFonts w:hint="eastAsia"/>
          <w:sz w:val="24"/>
        </w:rPr>
        <w:t>日</w:t>
      </w:r>
      <w:r>
        <w:rPr>
          <w:sz w:val="24"/>
        </w:rPr>
        <w:t>内无条件支付，无须你方出具证明或陈述理由。</w:t>
      </w:r>
    </w:p>
    <w:p>
      <w:pPr>
        <w:spacing w:line="400" w:lineRule="atLeast"/>
        <w:ind w:firstLine="480" w:firstLineChars="200"/>
        <w:rPr>
          <w:sz w:val="24"/>
        </w:rPr>
      </w:pPr>
      <w:r>
        <w:rPr>
          <w:sz w:val="24"/>
        </w:rPr>
        <w:t>4. 发包人和承包人按合同条款第15条变更合同时，</w:t>
      </w:r>
      <w:r>
        <w:rPr>
          <w:rFonts w:hint="eastAsia"/>
          <w:sz w:val="24"/>
        </w:rPr>
        <w:t>无论我方是否收到该变更，</w:t>
      </w:r>
      <w:r>
        <w:rPr>
          <w:sz w:val="24"/>
        </w:rPr>
        <w:t>我方承担本担保规定的义务不变。</w:t>
      </w:r>
    </w:p>
    <w:p>
      <w:pPr>
        <w:spacing w:line="400" w:lineRule="atLeast"/>
        <w:rPr>
          <w:sz w:val="24"/>
        </w:rPr>
      </w:pPr>
    </w:p>
    <w:p>
      <w:pPr>
        <w:spacing w:line="400" w:lineRule="atLeast"/>
        <w:rPr>
          <w:sz w:val="24"/>
        </w:rPr>
      </w:pPr>
    </w:p>
    <w:p>
      <w:pPr>
        <w:spacing w:line="400" w:lineRule="atLeast"/>
        <w:ind w:firstLine="3496" w:firstLineChars="1457"/>
        <w:rPr>
          <w:sz w:val="24"/>
        </w:rPr>
      </w:pPr>
      <w:r>
        <w:rPr>
          <w:sz w:val="24"/>
        </w:rPr>
        <w:t>担保人名称：</w:t>
      </w:r>
      <w:r>
        <w:rPr>
          <w:sz w:val="24"/>
          <w:u w:val="single"/>
        </w:rPr>
        <w:t xml:space="preserve">           </w:t>
      </w:r>
      <w:r>
        <w:rPr>
          <w:rFonts w:hint="eastAsia"/>
          <w:sz w:val="24"/>
          <w:u w:val="single"/>
        </w:rPr>
        <w:t xml:space="preserve">       </w:t>
      </w:r>
      <w:r>
        <w:rPr>
          <w:sz w:val="24"/>
          <w:u w:val="single"/>
        </w:rPr>
        <w:t xml:space="preserve">    </w:t>
      </w:r>
      <w:r>
        <w:rPr>
          <w:sz w:val="24"/>
        </w:rPr>
        <w:t>（盖单位章）</w:t>
      </w:r>
    </w:p>
    <w:p>
      <w:pPr>
        <w:spacing w:line="400" w:lineRule="atLeast"/>
        <w:ind w:firstLine="3496" w:firstLineChars="1457"/>
        <w:rPr>
          <w:sz w:val="24"/>
        </w:rPr>
      </w:pPr>
      <w:r>
        <w:rPr>
          <w:sz w:val="24"/>
        </w:rPr>
        <w:t>法定代表人或其委托代理人：</w:t>
      </w:r>
      <w:r>
        <w:rPr>
          <w:sz w:val="24"/>
          <w:u w:val="single"/>
        </w:rPr>
        <w:t xml:space="preserve">    </w:t>
      </w:r>
      <w:r>
        <w:rPr>
          <w:rFonts w:hint="eastAsia"/>
          <w:sz w:val="24"/>
          <w:u w:val="single"/>
        </w:rPr>
        <w:t xml:space="preserve"> </w:t>
      </w:r>
      <w:r>
        <w:rPr>
          <w:sz w:val="24"/>
          <w:u w:val="single"/>
        </w:rPr>
        <w:t xml:space="preserve">      </w:t>
      </w:r>
      <w:r>
        <w:rPr>
          <w:sz w:val="24"/>
        </w:rPr>
        <w:t>（签字）</w:t>
      </w:r>
    </w:p>
    <w:p>
      <w:pPr>
        <w:spacing w:line="400" w:lineRule="atLeast"/>
        <w:ind w:firstLine="3496" w:firstLineChars="1457"/>
        <w:rPr>
          <w:sz w:val="24"/>
        </w:rPr>
      </w:pPr>
      <w:r>
        <w:rPr>
          <w:sz w:val="24"/>
        </w:rPr>
        <w:t>地    址：</w:t>
      </w:r>
      <w:r>
        <w:rPr>
          <w:sz w:val="24"/>
          <w:u w:val="single"/>
        </w:rPr>
        <w:tab/>
      </w:r>
      <w:r>
        <w:rPr>
          <w:sz w:val="24"/>
          <w:u w:val="single"/>
        </w:rPr>
        <w:tab/>
      </w:r>
      <w:r>
        <w:rPr>
          <w:sz w:val="24"/>
          <w:u w:val="single"/>
        </w:rPr>
        <w:tab/>
      </w:r>
      <w:r>
        <w:rPr>
          <w:sz w:val="24"/>
          <w:u w:val="single"/>
        </w:rPr>
        <w:t xml:space="preserve">  </w:t>
      </w:r>
      <w:r>
        <w:rPr>
          <w:rFonts w:hint="eastAsia"/>
          <w:sz w:val="24"/>
          <w:u w:val="single"/>
        </w:rPr>
        <w:t xml:space="preserve">        </w:t>
      </w:r>
      <w:r>
        <w:rPr>
          <w:sz w:val="24"/>
          <w:u w:val="single"/>
        </w:rPr>
        <w:t xml:space="preserve">  </w:t>
      </w:r>
      <w:r>
        <w:rPr>
          <w:sz w:val="24"/>
          <w:u w:val="single"/>
        </w:rPr>
        <w:tab/>
      </w:r>
      <w:r>
        <w:rPr>
          <w:sz w:val="24"/>
          <w:u w:val="single"/>
        </w:rPr>
        <w:tab/>
      </w:r>
      <w:r>
        <w:rPr>
          <w:sz w:val="24"/>
          <w:u w:val="single"/>
        </w:rPr>
        <w:tab/>
      </w:r>
    </w:p>
    <w:p>
      <w:pPr>
        <w:spacing w:line="400" w:lineRule="atLeast"/>
        <w:ind w:firstLine="3496" w:firstLineChars="1457"/>
        <w:rPr>
          <w:sz w:val="24"/>
        </w:rPr>
      </w:pPr>
      <w:r>
        <w:rPr>
          <w:sz w:val="24"/>
        </w:rPr>
        <w:t>邮政编码：</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pPr>
        <w:spacing w:line="400" w:lineRule="atLeast"/>
        <w:ind w:firstLine="3496" w:firstLineChars="1457"/>
        <w:rPr>
          <w:sz w:val="24"/>
        </w:rPr>
      </w:pPr>
      <w:r>
        <w:rPr>
          <w:sz w:val="24"/>
        </w:rPr>
        <w:t>电    话：</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sz w:val="24"/>
        </w:rPr>
        <w:t xml:space="preserve"> </w:t>
      </w:r>
    </w:p>
    <w:p>
      <w:pPr>
        <w:spacing w:line="400" w:lineRule="atLeast"/>
        <w:ind w:firstLine="3496" w:firstLineChars="1457"/>
        <w:rPr>
          <w:sz w:val="24"/>
        </w:rPr>
      </w:pPr>
      <w:r>
        <w:rPr>
          <w:sz w:val="24"/>
        </w:rPr>
        <w:t>传    真：</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sz w:val="24"/>
        </w:rPr>
        <w:t xml:space="preserve"> </w:t>
      </w:r>
    </w:p>
    <w:p>
      <w:pPr>
        <w:spacing w:line="400" w:lineRule="atLeast"/>
        <w:ind w:firstLine="4216" w:firstLineChars="1757"/>
        <w:jc w:val="right"/>
        <w:rPr>
          <w:sz w:val="24"/>
        </w:rPr>
      </w:pPr>
      <w:r>
        <w:rPr>
          <w:sz w:val="24"/>
          <w:u w:val="single"/>
        </w:rPr>
        <w:t xml:space="preserve">       </w:t>
      </w:r>
      <w:r>
        <w:rPr>
          <w:sz w:val="24"/>
        </w:rPr>
        <w:t xml:space="preserve"> 年</w:t>
      </w:r>
      <w:r>
        <w:rPr>
          <w:sz w:val="24"/>
          <w:u w:val="single"/>
        </w:rPr>
        <w:t xml:space="preserve">      </w:t>
      </w:r>
      <w:r>
        <w:rPr>
          <w:sz w:val="24"/>
        </w:rPr>
        <w:t xml:space="preserve">月 </w:t>
      </w:r>
      <w:r>
        <w:rPr>
          <w:sz w:val="24"/>
          <w:u w:val="single"/>
        </w:rPr>
        <w:t xml:space="preserve">     </w:t>
      </w:r>
      <w:r>
        <w:rPr>
          <w:sz w:val="24"/>
        </w:rPr>
        <w:t>日</w:t>
      </w:r>
    </w:p>
    <w:p>
      <w:pPr>
        <w:spacing w:line="400" w:lineRule="atLeast"/>
        <w:rPr>
          <w:sz w:val="24"/>
        </w:rPr>
      </w:pPr>
    </w:p>
    <w:p>
      <w:pPr>
        <w:spacing w:line="400" w:lineRule="atLeast"/>
        <w:rPr>
          <w:rFonts w:eastAsia="黑体"/>
          <w:sz w:val="24"/>
        </w:rPr>
      </w:pPr>
    </w:p>
    <w:p>
      <w:pPr>
        <w:rPr>
          <w:b/>
        </w:rPr>
      </w:pPr>
      <w:r>
        <w:br w:type="page"/>
      </w:r>
      <w:bookmarkStart w:id="572" w:name="_Toc9353030"/>
      <w:bookmarkStart w:id="573" w:name="_Toc234833238"/>
      <w:r>
        <w:rPr>
          <w:b/>
        </w:rPr>
        <w:t>附件</w:t>
      </w:r>
      <w:r>
        <w:rPr>
          <w:rFonts w:hint="eastAsia"/>
          <w:b/>
        </w:rPr>
        <w:t xml:space="preserve">八 </w:t>
      </w:r>
      <w:r>
        <w:rPr>
          <w:b/>
        </w:rPr>
        <w:t>工程资金监管协议格式</w:t>
      </w:r>
      <w:bookmarkEnd w:id="572"/>
      <w:bookmarkEnd w:id="573"/>
    </w:p>
    <w:p>
      <w:pPr>
        <w:spacing w:line="380" w:lineRule="atLeast"/>
        <w:ind w:firstLine="480" w:firstLineChars="200"/>
        <w:rPr>
          <w:sz w:val="24"/>
        </w:rPr>
      </w:pPr>
      <w:r>
        <w:rPr>
          <w:sz w:val="24"/>
        </w:rPr>
        <w:t>（发包人与承包人签订合同协议书时应与发包人指定的银行签署工程资金监管协议，工程资金监管协议内容在保证本项目资金有效监管的前提下由三方共同商定）</w:t>
      </w:r>
    </w:p>
    <w:p>
      <w:pPr>
        <w:spacing w:line="380" w:lineRule="atLeast"/>
        <w:rPr>
          <w:rFonts w:eastAsia="黑体"/>
          <w:sz w:val="24"/>
        </w:rPr>
      </w:pPr>
    </w:p>
    <w:p>
      <w:pPr>
        <w:spacing w:line="380" w:lineRule="atLeast"/>
        <w:jc w:val="center"/>
        <w:rPr>
          <w:rFonts w:eastAsia="黑体"/>
          <w:sz w:val="28"/>
          <w:szCs w:val="28"/>
        </w:rPr>
      </w:pPr>
      <w:r>
        <w:rPr>
          <w:rFonts w:eastAsia="黑体"/>
          <w:sz w:val="28"/>
          <w:szCs w:val="28"/>
        </w:rPr>
        <w:t>工程资金监管协议</w:t>
      </w:r>
    </w:p>
    <w:p>
      <w:pPr>
        <w:spacing w:line="380" w:lineRule="atLeast"/>
        <w:jc w:val="center"/>
        <w:rPr>
          <w:rFonts w:eastAsia="黑体"/>
          <w:sz w:val="28"/>
          <w:szCs w:val="28"/>
        </w:rPr>
      </w:pPr>
    </w:p>
    <w:p>
      <w:pPr>
        <w:spacing w:line="380" w:lineRule="atLeast"/>
        <w:rPr>
          <w:sz w:val="24"/>
        </w:rPr>
      </w:pPr>
      <w:bookmarkStart w:id="574" w:name="_Toc234833239"/>
      <w:r>
        <w:rPr>
          <w:sz w:val="24"/>
        </w:rPr>
        <w:t>发包人：</w:t>
      </w:r>
      <w:r>
        <w:rPr>
          <w:sz w:val="24"/>
          <w:u w:val="single"/>
        </w:rPr>
        <w:t xml:space="preserve">                </w:t>
      </w:r>
      <w:r>
        <w:rPr>
          <w:sz w:val="24"/>
        </w:rPr>
        <w:t>（以下简称“甲方”）</w:t>
      </w:r>
      <w:bookmarkEnd w:id="574"/>
    </w:p>
    <w:p>
      <w:pPr>
        <w:spacing w:line="380" w:lineRule="atLeast"/>
        <w:rPr>
          <w:sz w:val="24"/>
        </w:rPr>
      </w:pPr>
      <w:r>
        <w:rPr>
          <w:sz w:val="24"/>
        </w:rPr>
        <w:t>承包人：</w:t>
      </w:r>
      <w:r>
        <w:rPr>
          <w:sz w:val="24"/>
          <w:u w:val="single"/>
        </w:rPr>
        <w:t xml:space="preserve">                </w:t>
      </w:r>
      <w:r>
        <w:rPr>
          <w:sz w:val="24"/>
        </w:rPr>
        <w:t>（以下简称“乙方”）</w:t>
      </w:r>
    </w:p>
    <w:p>
      <w:pPr>
        <w:spacing w:line="380" w:lineRule="atLeast"/>
        <w:rPr>
          <w:sz w:val="24"/>
        </w:rPr>
      </w:pPr>
      <w:r>
        <w:rPr>
          <w:sz w:val="24"/>
        </w:rPr>
        <w:t>经办银行：</w:t>
      </w:r>
      <w:r>
        <w:rPr>
          <w:sz w:val="24"/>
          <w:u w:val="single"/>
        </w:rPr>
        <w:t xml:space="preserve">               </w:t>
      </w:r>
      <w:r>
        <w:rPr>
          <w:sz w:val="24"/>
        </w:rPr>
        <w:t>（以下简称“丙方”）</w:t>
      </w:r>
    </w:p>
    <w:p>
      <w:pPr>
        <w:spacing w:line="380" w:lineRule="atLeast"/>
        <w:jc w:val="left"/>
        <w:rPr>
          <w:sz w:val="24"/>
        </w:rPr>
      </w:pPr>
    </w:p>
    <w:p>
      <w:pPr>
        <w:spacing w:line="380" w:lineRule="atLeast"/>
        <w:ind w:firstLine="480" w:firstLineChars="200"/>
        <w:rPr>
          <w:sz w:val="24"/>
        </w:rPr>
      </w:pPr>
      <w:r>
        <w:rPr>
          <w:sz w:val="24"/>
        </w:rPr>
        <w:t>为了促进</w:t>
      </w:r>
      <w:r>
        <w:rPr>
          <w:sz w:val="24"/>
          <w:u w:val="single"/>
        </w:rPr>
        <w:t xml:space="preserve">        </w:t>
      </w:r>
      <w:r>
        <w:rPr>
          <w:sz w:val="24"/>
        </w:rPr>
        <w:t>（项目名称）的顺利实施，管好用好建设资金，确保工程资金专款专用，同时为承包人提供便捷有效的银行业务服务，根据</w:t>
      </w:r>
      <w:r>
        <w:rPr>
          <w:sz w:val="24"/>
          <w:u w:val="single"/>
        </w:rPr>
        <w:t xml:space="preserve">       </w:t>
      </w:r>
      <w:r>
        <w:rPr>
          <w:sz w:val="24"/>
        </w:rPr>
        <w:t>（项目名称）合同条款有关规定，经甲、乙、丙三方协商，达成协议如下：</w:t>
      </w:r>
    </w:p>
    <w:p>
      <w:pPr>
        <w:spacing w:line="380" w:lineRule="atLeast"/>
        <w:ind w:firstLine="480" w:firstLineChars="200"/>
        <w:rPr>
          <w:sz w:val="24"/>
        </w:rPr>
      </w:pPr>
      <w:r>
        <w:rPr>
          <w:sz w:val="24"/>
        </w:rPr>
        <w:t>1. 资金管理的内容</w:t>
      </w:r>
    </w:p>
    <w:p>
      <w:pPr>
        <w:spacing w:line="380" w:lineRule="atLeast"/>
        <w:ind w:firstLine="480" w:firstLineChars="200"/>
        <w:rPr>
          <w:sz w:val="24"/>
        </w:rPr>
      </w:pPr>
      <w:r>
        <w:rPr>
          <w:sz w:val="24"/>
        </w:rPr>
        <w:t>（1）乙方为完成</w:t>
      </w:r>
      <w:r>
        <w:rPr>
          <w:sz w:val="24"/>
          <w:u w:val="single"/>
        </w:rPr>
        <w:t xml:space="preserve">        </w:t>
      </w:r>
      <w:r>
        <w:rPr>
          <w:sz w:val="24"/>
        </w:rPr>
        <w:t>（项目名称）工程成立的项目经理部在丙方开设基本结算户；</w:t>
      </w:r>
    </w:p>
    <w:p>
      <w:pPr>
        <w:spacing w:line="380" w:lineRule="atLeast"/>
        <w:ind w:firstLine="480" w:firstLineChars="200"/>
        <w:rPr>
          <w:sz w:val="24"/>
        </w:rPr>
      </w:pPr>
      <w:r>
        <w:rPr>
          <w:sz w:val="24"/>
        </w:rPr>
        <w:t>（2）甲方应按合同规定将工程款汇入乙方在丙方开设的</w:t>
      </w:r>
      <w:r>
        <w:rPr>
          <w:rFonts w:hint="eastAsia"/>
          <w:sz w:val="24"/>
        </w:rPr>
        <w:t>账</w:t>
      </w:r>
      <w:r>
        <w:rPr>
          <w:sz w:val="24"/>
        </w:rPr>
        <w:t>户；</w:t>
      </w:r>
    </w:p>
    <w:p>
      <w:pPr>
        <w:spacing w:line="380" w:lineRule="atLeast"/>
        <w:ind w:firstLine="480" w:firstLineChars="200"/>
        <w:rPr>
          <w:sz w:val="24"/>
        </w:rPr>
      </w:pPr>
      <w:r>
        <w:rPr>
          <w:sz w:val="24"/>
        </w:rPr>
        <w:t>（3）乙方应将流动资金及甲方所拨付资金专项用于</w:t>
      </w:r>
      <w:r>
        <w:rPr>
          <w:sz w:val="24"/>
          <w:u w:val="single"/>
        </w:rPr>
        <w:t xml:space="preserve">        </w:t>
      </w:r>
      <w:r>
        <w:rPr>
          <w:sz w:val="24"/>
        </w:rPr>
        <w:t>（项目名称）；</w:t>
      </w:r>
    </w:p>
    <w:p>
      <w:pPr>
        <w:spacing w:line="380" w:lineRule="atLeast"/>
        <w:ind w:firstLine="480" w:firstLineChars="200"/>
        <w:rPr>
          <w:sz w:val="24"/>
        </w:rPr>
      </w:pPr>
      <w:r>
        <w:rPr>
          <w:sz w:val="24"/>
        </w:rPr>
        <w:t>（4）丙方应为乙方提供便捷有效的银行业务服务，并接受甲方委托对乙方在丙方开设的基本结算户资金使用情况进行监督。</w:t>
      </w:r>
    </w:p>
    <w:p>
      <w:pPr>
        <w:spacing w:line="380" w:lineRule="atLeast"/>
        <w:ind w:firstLine="480" w:firstLineChars="200"/>
        <w:rPr>
          <w:sz w:val="24"/>
        </w:rPr>
      </w:pPr>
      <w:r>
        <w:rPr>
          <w:sz w:val="24"/>
        </w:rPr>
        <w:t>2. 甲方的权责</w:t>
      </w:r>
    </w:p>
    <w:p>
      <w:pPr>
        <w:spacing w:line="380" w:lineRule="atLeast"/>
        <w:ind w:firstLine="480" w:firstLineChars="200"/>
        <w:rPr>
          <w:sz w:val="24"/>
        </w:rPr>
      </w:pPr>
      <w:r>
        <w:rPr>
          <w:sz w:val="24"/>
        </w:rPr>
        <w:t>（1）按照</w:t>
      </w:r>
      <w:r>
        <w:rPr>
          <w:sz w:val="24"/>
          <w:u w:val="single"/>
        </w:rPr>
        <w:t xml:space="preserve">        </w:t>
      </w:r>
      <w:r>
        <w:rPr>
          <w:sz w:val="24"/>
        </w:rPr>
        <w:t>（项目名称）合同有关条款规定的时间和方式，向乙方支付工程款；</w:t>
      </w:r>
    </w:p>
    <w:p>
      <w:pPr>
        <w:spacing w:line="380" w:lineRule="atLeast"/>
        <w:ind w:firstLine="480" w:firstLineChars="200"/>
        <w:rPr>
          <w:sz w:val="24"/>
        </w:rPr>
      </w:pPr>
      <w:r>
        <w:rPr>
          <w:sz w:val="24"/>
        </w:rPr>
        <w:t>（2）在发现乙方将本项目资金挪用、转移时，甲方有权中止工程支付，直至乙方改正为止；</w:t>
      </w:r>
    </w:p>
    <w:p>
      <w:pPr>
        <w:spacing w:line="380" w:lineRule="atLeast"/>
        <w:ind w:firstLine="480" w:firstLineChars="200"/>
        <w:rPr>
          <w:sz w:val="24"/>
        </w:rPr>
      </w:pPr>
      <w:r>
        <w:rPr>
          <w:sz w:val="24"/>
        </w:rPr>
        <w:t>（3）不定期审查丙方对乙方的资金使用监督情况，如丙方不能履行其责任，甲方有权随时终止本协议；</w:t>
      </w:r>
    </w:p>
    <w:p>
      <w:pPr>
        <w:spacing w:line="380" w:lineRule="atLeast"/>
        <w:ind w:firstLine="480" w:firstLineChars="200"/>
        <w:rPr>
          <w:sz w:val="24"/>
        </w:rPr>
      </w:pPr>
      <w:r>
        <w:rPr>
          <w:sz w:val="24"/>
        </w:rPr>
        <w:t>（4）在乙、丙双方发生争议时，甲方应负责协调、解决。</w:t>
      </w:r>
    </w:p>
    <w:p>
      <w:pPr>
        <w:spacing w:line="380" w:lineRule="atLeast"/>
        <w:ind w:firstLine="480" w:firstLineChars="200"/>
        <w:rPr>
          <w:sz w:val="24"/>
        </w:rPr>
      </w:pPr>
      <w:r>
        <w:rPr>
          <w:sz w:val="24"/>
        </w:rPr>
        <w:t>3. 乙方的权责</w:t>
      </w:r>
    </w:p>
    <w:p>
      <w:pPr>
        <w:spacing w:line="380" w:lineRule="atLeast"/>
        <w:ind w:firstLine="480" w:firstLineChars="200"/>
        <w:rPr>
          <w:sz w:val="24"/>
        </w:rPr>
      </w:pPr>
      <w:r>
        <w:rPr>
          <w:sz w:val="24"/>
        </w:rPr>
        <w:t>（1）项目经理部成立以后，乙方应尽快在丙方开设基本结算户；</w:t>
      </w:r>
    </w:p>
    <w:p>
      <w:pPr>
        <w:spacing w:line="380" w:lineRule="atLeast"/>
        <w:ind w:firstLine="480" w:firstLineChars="200"/>
        <w:rPr>
          <w:sz w:val="24"/>
        </w:rPr>
      </w:pPr>
      <w:r>
        <w:rPr>
          <w:sz w:val="24"/>
        </w:rPr>
        <w:t>（2）确保本项目资金专款专用，不发生挪用、转移资金的现象；保证不通过权益转让、抵押、担保承担债务等任何其他方式使用基本结算户的资金；</w:t>
      </w:r>
    </w:p>
    <w:p>
      <w:pPr>
        <w:spacing w:line="380" w:lineRule="atLeast"/>
        <w:ind w:firstLine="480" w:firstLineChars="200"/>
        <w:rPr>
          <w:sz w:val="24"/>
        </w:rPr>
      </w:pPr>
      <w:r>
        <w:rPr>
          <w:sz w:val="24"/>
        </w:rPr>
        <w:t>（3）办理材料、设备等采购业务金额在</w:t>
      </w:r>
      <w:r>
        <w:rPr>
          <w:sz w:val="24"/>
          <w:u w:val="single"/>
        </w:rPr>
        <w:t xml:space="preserve">  </w:t>
      </w:r>
      <w:r>
        <w:rPr>
          <w:sz w:val="24"/>
        </w:rPr>
        <w:t>万元以上的，应出示购货合同、协议和发票；在办理总额超过</w:t>
      </w:r>
      <w:r>
        <w:rPr>
          <w:sz w:val="24"/>
          <w:u w:val="single"/>
        </w:rPr>
        <w:t xml:space="preserve">  </w:t>
      </w:r>
      <w:r>
        <w:rPr>
          <w:sz w:val="24"/>
        </w:rPr>
        <w:t>万元以上的采购业务时，应将合同、协议和发票复印件送丙方备案；购买应急材料、设备时可先办理支付手续，但事后必须补备有关资料；</w:t>
      </w:r>
    </w:p>
    <w:p>
      <w:pPr>
        <w:spacing w:line="380" w:lineRule="atLeast"/>
        <w:ind w:firstLine="480" w:firstLineChars="200"/>
        <w:rPr>
          <w:sz w:val="24"/>
        </w:rPr>
      </w:pPr>
      <w:r>
        <w:rPr>
          <w:sz w:val="24"/>
        </w:rPr>
        <w:t>（4）用银行转账支票办理支付款项时，必须将转账支票送交丙方，由丙方负责办理支票转付手续；</w:t>
      </w:r>
    </w:p>
    <w:p>
      <w:pPr>
        <w:spacing w:line="380" w:lineRule="atLeast"/>
        <w:ind w:firstLine="480" w:firstLineChars="200"/>
        <w:rPr>
          <w:sz w:val="24"/>
        </w:rPr>
      </w:pPr>
      <w:r>
        <w:rPr>
          <w:sz w:val="24"/>
        </w:rPr>
        <w:t>（5）向分包单位支付工程进度款时，应附甲方批准分包的文件；</w:t>
      </w:r>
    </w:p>
    <w:p>
      <w:pPr>
        <w:spacing w:line="380" w:lineRule="atLeast"/>
        <w:ind w:firstLine="480" w:firstLineChars="200"/>
        <w:rPr>
          <w:sz w:val="24"/>
        </w:rPr>
      </w:pPr>
      <w:r>
        <w:rPr>
          <w:sz w:val="24"/>
        </w:rPr>
        <w:t>（6）向上级单位缴纳管理费、机械设备及周转材料租赁摊销费等款项时，应附上级单位出具的转账通知等有关资料，以确保资金专款专用。</w:t>
      </w:r>
    </w:p>
    <w:p>
      <w:pPr>
        <w:spacing w:line="380" w:lineRule="atLeast"/>
        <w:ind w:firstLine="480" w:firstLineChars="200"/>
        <w:rPr>
          <w:sz w:val="24"/>
        </w:rPr>
      </w:pPr>
      <w:r>
        <w:rPr>
          <w:sz w:val="24"/>
        </w:rPr>
        <w:t>4. 丙方的权责</w:t>
      </w:r>
    </w:p>
    <w:p>
      <w:pPr>
        <w:spacing w:line="380" w:lineRule="atLeast"/>
        <w:ind w:firstLine="480" w:firstLineChars="200"/>
        <w:rPr>
          <w:sz w:val="24"/>
        </w:rPr>
      </w:pPr>
      <w:r>
        <w:rPr>
          <w:sz w:val="24"/>
        </w:rPr>
        <w:t>（1）成立</w:t>
      </w:r>
      <w:r>
        <w:rPr>
          <w:sz w:val="24"/>
          <w:u w:val="single"/>
        </w:rPr>
        <w:t xml:space="preserve">        </w:t>
      </w:r>
      <w:r>
        <w:rPr>
          <w:sz w:val="24"/>
        </w:rPr>
        <w:t>（项目名称）工程资金管理服务小组，明确业务流程，提高工作效率，杜绝“压票”现象；</w:t>
      </w:r>
    </w:p>
    <w:p>
      <w:pPr>
        <w:spacing w:line="380" w:lineRule="atLeast"/>
        <w:ind w:firstLine="480" w:firstLineChars="200"/>
        <w:rPr>
          <w:sz w:val="24"/>
        </w:rPr>
      </w:pPr>
      <w:r>
        <w:rPr>
          <w:sz w:val="24"/>
        </w:rPr>
        <w:t>（2）</w:t>
      </w:r>
      <w:r>
        <w:rPr>
          <w:spacing w:val="-6"/>
          <w:sz w:val="24"/>
        </w:rPr>
        <w:t>根据乙方提供的购货合同、协议和发票，检查其所购材料、设备是否用于</w:t>
      </w:r>
      <w:r>
        <w:rPr>
          <w:rFonts w:hint="eastAsia"/>
          <w:spacing w:val="-6"/>
          <w:sz w:val="24"/>
          <w:u w:val="single"/>
        </w:rPr>
        <w:t xml:space="preserve">   </w:t>
      </w:r>
      <w:r>
        <w:rPr>
          <w:sz w:val="24"/>
        </w:rPr>
        <w:t>（项目名称）工程建设，对本标段以外的购货款项，有权拒绝办理，并及时报告甲方；</w:t>
      </w:r>
    </w:p>
    <w:p>
      <w:pPr>
        <w:spacing w:line="380" w:lineRule="atLeast"/>
        <w:ind w:firstLine="480" w:firstLineChars="200"/>
        <w:rPr>
          <w:sz w:val="24"/>
        </w:rPr>
      </w:pPr>
      <w:r>
        <w:rPr>
          <w:sz w:val="24"/>
        </w:rPr>
        <w:t>（3）根据乙方与分包单位签订的合同及支付文件，检查其支付款项是否符合有关条件，向分包单位以外单位的支付有权拒绝办理，并及时报告甲方；</w:t>
      </w:r>
    </w:p>
    <w:p>
      <w:pPr>
        <w:spacing w:line="380" w:lineRule="atLeast"/>
        <w:ind w:firstLine="480" w:firstLineChars="200"/>
        <w:rPr>
          <w:sz w:val="24"/>
        </w:rPr>
      </w:pPr>
      <w:r>
        <w:rPr>
          <w:sz w:val="24"/>
        </w:rPr>
        <w:t>（4）根据乙方提供的上级单位出具的转账通知等有关资料，办理管理费、机械设备及周转材料租赁摊销费等款项的支付；对超出转账通知等有关资料以外的支付，有权拒绝办理，并及时报告甲方；</w:t>
      </w:r>
    </w:p>
    <w:p>
      <w:pPr>
        <w:spacing w:line="380" w:lineRule="atLeast"/>
        <w:ind w:firstLine="480" w:firstLineChars="200"/>
        <w:rPr>
          <w:sz w:val="24"/>
        </w:rPr>
      </w:pPr>
      <w:r>
        <w:rPr>
          <w:sz w:val="24"/>
        </w:rPr>
        <w:t>（5）定期将乙方前一个周期的支付情况，整理后书面报送甲方；乙方复印备案的材料一并送甲方。</w:t>
      </w:r>
    </w:p>
    <w:p>
      <w:pPr>
        <w:spacing w:line="380" w:lineRule="atLeast"/>
        <w:ind w:firstLine="480" w:firstLineChars="200"/>
        <w:rPr>
          <w:sz w:val="24"/>
        </w:rPr>
      </w:pPr>
      <w:r>
        <w:rPr>
          <w:sz w:val="24"/>
        </w:rPr>
        <w:t>5. 甲、乙、丙三方都应履行保密责任，不得将其他两方的业务情况透露给三方以外的其他单位或个人。</w:t>
      </w:r>
    </w:p>
    <w:p>
      <w:pPr>
        <w:spacing w:line="380" w:lineRule="atLeast"/>
        <w:ind w:firstLine="480" w:firstLineChars="200"/>
        <w:rPr>
          <w:sz w:val="24"/>
        </w:rPr>
      </w:pPr>
      <w:r>
        <w:rPr>
          <w:sz w:val="24"/>
        </w:rPr>
        <w:t>6. 本协议有效期自乙方在丙方开户起，至工程交工验收甲方向乙方颁发交工验收证书后结束。</w:t>
      </w:r>
    </w:p>
    <w:p>
      <w:pPr>
        <w:spacing w:line="380" w:lineRule="atLeast"/>
        <w:ind w:firstLine="480" w:firstLineChars="200"/>
        <w:rPr>
          <w:sz w:val="24"/>
        </w:rPr>
      </w:pPr>
      <w:r>
        <w:rPr>
          <w:sz w:val="24"/>
        </w:rPr>
        <w:t>7. 本协议未尽事宜，由甲方牵头，三方协商解决。</w:t>
      </w:r>
    </w:p>
    <w:p>
      <w:pPr>
        <w:spacing w:line="380" w:lineRule="atLeast"/>
        <w:ind w:firstLine="480" w:firstLineChars="200"/>
        <w:rPr>
          <w:sz w:val="24"/>
        </w:rPr>
      </w:pPr>
      <w:r>
        <w:rPr>
          <w:sz w:val="24"/>
        </w:rPr>
        <w:t>8. 本协议正本三份、副本</w:t>
      </w:r>
      <w:r>
        <w:rPr>
          <w:sz w:val="24"/>
          <w:u w:val="single"/>
        </w:rPr>
        <w:t xml:space="preserve">  </w:t>
      </w:r>
      <w:r>
        <w:rPr>
          <w:sz w:val="24"/>
        </w:rPr>
        <w:t>份。合同三方各执正本一份、副本</w:t>
      </w:r>
      <w:r>
        <w:rPr>
          <w:sz w:val="24"/>
          <w:u w:val="single"/>
        </w:rPr>
        <w:t xml:space="preserve">  </w:t>
      </w:r>
      <w:r>
        <w:rPr>
          <w:sz w:val="24"/>
        </w:rPr>
        <w:t>份，当正本与副本内容不一致时，以正本为准。</w:t>
      </w:r>
    </w:p>
    <w:p>
      <w:pPr>
        <w:spacing w:line="340" w:lineRule="atLeast"/>
        <w:rPr>
          <w:sz w:val="24"/>
        </w:rPr>
      </w:pPr>
      <w:r>
        <w:rPr>
          <w:sz w:val="24"/>
        </w:rPr>
        <w:t>发包人：</w:t>
      </w:r>
      <w:r>
        <w:rPr>
          <w:sz w:val="24"/>
          <w:u w:val="single"/>
        </w:rPr>
        <w:t xml:space="preserve">          </w:t>
      </w:r>
      <w:r>
        <w:rPr>
          <w:rFonts w:hint="eastAsia"/>
          <w:sz w:val="24"/>
          <w:u w:val="single"/>
        </w:rPr>
        <w:t xml:space="preserve">           </w:t>
      </w:r>
      <w:r>
        <w:rPr>
          <w:sz w:val="24"/>
          <w:u w:val="single"/>
        </w:rPr>
        <w:t xml:space="preserve">     </w:t>
      </w:r>
      <w:r>
        <w:rPr>
          <w:sz w:val="24"/>
        </w:rPr>
        <w:t xml:space="preserve">（盖单位章）    </w:t>
      </w:r>
    </w:p>
    <w:p>
      <w:pPr>
        <w:spacing w:line="340" w:lineRule="atLeast"/>
        <w:rPr>
          <w:sz w:val="24"/>
        </w:rPr>
      </w:pPr>
      <w:r>
        <w:rPr>
          <w:sz w:val="24"/>
        </w:rPr>
        <w:t>法定代表人或其委托代理人：</w:t>
      </w:r>
      <w:r>
        <w:rPr>
          <w:sz w:val="24"/>
          <w:u w:val="single"/>
        </w:rPr>
        <w:t xml:space="preserve">   </w:t>
      </w:r>
      <w:r>
        <w:rPr>
          <w:rFonts w:hint="eastAsia"/>
          <w:sz w:val="24"/>
          <w:u w:val="single"/>
        </w:rPr>
        <w:t xml:space="preserve">        </w:t>
      </w:r>
      <w:r>
        <w:rPr>
          <w:sz w:val="24"/>
          <w:u w:val="single"/>
        </w:rPr>
        <w:t xml:space="preserve"> </w:t>
      </w:r>
      <w:r>
        <w:rPr>
          <w:sz w:val="24"/>
        </w:rPr>
        <w:t xml:space="preserve">（签字）  </w:t>
      </w:r>
    </w:p>
    <w:p>
      <w:pPr>
        <w:spacing w:line="340" w:lineRule="atLeast"/>
        <w:ind w:firstLine="1920" w:firstLineChars="800"/>
        <w:rPr>
          <w:b/>
          <w:bCs/>
          <w:sz w:val="44"/>
        </w:rPr>
      </w:pPr>
      <w:r>
        <w:rPr>
          <w:sz w:val="24"/>
          <w:u w:val="single"/>
        </w:rPr>
        <w:t xml:space="preserve">         </w:t>
      </w:r>
      <w:r>
        <w:rPr>
          <w:sz w:val="24"/>
        </w:rPr>
        <w:t>年</w:t>
      </w:r>
      <w:r>
        <w:rPr>
          <w:sz w:val="24"/>
          <w:u w:val="single"/>
        </w:rPr>
        <w:t xml:space="preserve">       </w:t>
      </w:r>
      <w:r>
        <w:rPr>
          <w:sz w:val="24"/>
        </w:rPr>
        <w:t xml:space="preserve">月 </w:t>
      </w:r>
      <w:r>
        <w:rPr>
          <w:sz w:val="24"/>
          <w:u w:val="single"/>
        </w:rPr>
        <w:t xml:space="preserve">    </w:t>
      </w:r>
      <w:r>
        <w:rPr>
          <w:sz w:val="24"/>
        </w:rPr>
        <w:t xml:space="preserve"> 日    </w:t>
      </w:r>
    </w:p>
    <w:p>
      <w:pPr>
        <w:spacing w:line="340" w:lineRule="atLeast"/>
        <w:rPr>
          <w:sz w:val="24"/>
        </w:rPr>
      </w:pPr>
    </w:p>
    <w:p>
      <w:pPr>
        <w:spacing w:line="340" w:lineRule="atLeast"/>
        <w:rPr>
          <w:sz w:val="24"/>
        </w:rPr>
      </w:pPr>
      <w:r>
        <w:rPr>
          <w:sz w:val="24"/>
        </w:rPr>
        <w:t>承包人：</w:t>
      </w:r>
      <w:r>
        <w:rPr>
          <w:sz w:val="24"/>
          <w:u w:val="single"/>
        </w:rPr>
        <w:t xml:space="preserve">          </w:t>
      </w:r>
      <w:r>
        <w:rPr>
          <w:rFonts w:hint="eastAsia"/>
          <w:sz w:val="24"/>
          <w:u w:val="single"/>
        </w:rPr>
        <w:t xml:space="preserve">           </w:t>
      </w:r>
      <w:r>
        <w:rPr>
          <w:sz w:val="24"/>
          <w:u w:val="single"/>
        </w:rPr>
        <w:t xml:space="preserve">     </w:t>
      </w:r>
      <w:r>
        <w:rPr>
          <w:sz w:val="24"/>
        </w:rPr>
        <w:t xml:space="preserve">（盖单位章）    </w:t>
      </w:r>
    </w:p>
    <w:p>
      <w:pPr>
        <w:spacing w:line="340" w:lineRule="atLeast"/>
        <w:rPr>
          <w:sz w:val="24"/>
        </w:rPr>
      </w:pPr>
      <w:r>
        <w:rPr>
          <w:sz w:val="24"/>
        </w:rPr>
        <w:t>法定代表人或其委托代理人：</w:t>
      </w:r>
      <w:r>
        <w:rPr>
          <w:sz w:val="24"/>
          <w:u w:val="single"/>
        </w:rPr>
        <w:t xml:space="preserve">  </w:t>
      </w:r>
      <w:r>
        <w:rPr>
          <w:rFonts w:hint="eastAsia"/>
          <w:sz w:val="24"/>
          <w:u w:val="single"/>
        </w:rPr>
        <w:t xml:space="preserve">        </w:t>
      </w:r>
      <w:r>
        <w:rPr>
          <w:sz w:val="24"/>
          <w:u w:val="single"/>
        </w:rPr>
        <w:t xml:space="preserve">  </w:t>
      </w:r>
      <w:r>
        <w:rPr>
          <w:sz w:val="24"/>
        </w:rPr>
        <w:t xml:space="preserve">（签字）  </w:t>
      </w:r>
    </w:p>
    <w:p>
      <w:pPr>
        <w:spacing w:line="340" w:lineRule="atLeast"/>
        <w:ind w:firstLine="1920" w:firstLineChars="800"/>
        <w:rPr>
          <w:b/>
          <w:bCs/>
          <w:sz w:val="44"/>
        </w:rPr>
      </w:pPr>
      <w:r>
        <w:rPr>
          <w:sz w:val="24"/>
          <w:u w:val="single"/>
        </w:rPr>
        <w:t xml:space="preserve">         </w:t>
      </w:r>
      <w:r>
        <w:rPr>
          <w:sz w:val="24"/>
        </w:rPr>
        <w:t>年</w:t>
      </w:r>
      <w:r>
        <w:rPr>
          <w:sz w:val="24"/>
          <w:u w:val="single"/>
        </w:rPr>
        <w:t xml:space="preserve">       </w:t>
      </w:r>
      <w:r>
        <w:rPr>
          <w:sz w:val="24"/>
        </w:rPr>
        <w:t xml:space="preserve">月 </w:t>
      </w:r>
      <w:r>
        <w:rPr>
          <w:sz w:val="24"/>
          <w:u w:val="single"/>
        </w:rPr>
        <w:t xml:space="preserve">    </w:t>
      </w:r>
      <w:r>
        <w:rPr>
          <w:sz w:val="24"/>
        </w:rPr>
        <w:t xml:space="preserve"> 日    </w:t>
      </w:r>
    </w:p>
    <w:p>
      <w:pPr>
        <w:spacing w:line="340" w:lineRule="atLeast"/>
        <w:rPr>
          <w:sz w:val="24"/>
        </w:rPr>
      </w:pPr>
    </w:p>
    <w:p>
      <w:pPr>
        <w:spacing w:line="340" w:lineRule="atLeast"/>
        <w:rPr>
          <w:sz w:val="24"/>
        </w:rPr>
      </w:pPr>
      <w:r>
        <w:rPr>
          <w:sz w:val="24"/>
        </w:rPr>
        <w:t>经办银行：</w:t>
      </w:r>
      <w:r>
        <w:rPr>
          <w:sz w:val="24"/>
          <w:u w:val="single"/>
        </w:rPr>
        <w:t xml:space="preserve">     </w:t>
      </w:r>
      <w:r>
        <w:rPr>
          <w:rFonts w:hint="eastAsia"/>
          <w:sz w:val="24"/>
          <w:u w:val="single"/>
        </w:rPr>
        <w:t xml:space="preserve">         </w:t>
      </w:r>
      <w:r>
        <w:rPr>
          <w:sz w:val="24"/>
          <w:u w:val="single"/>
        </w:rPr>
        <w:t xml:space="preserve">          </w:t>
      </w:r>
      <w:r>
        <w:rPr>
          <w:sz w:val="24"/>
        </w:rPr>
        <w:t xml:space="preserve">（盖单位章）    </w:t>
      </w:r>
    </w:p>
    <w:p>
      <w:pPr>
        <w:spacing w:line="340" w:lineRule="atLeast"/>
        <w:rPr>
          <w:sz w:val="24"/>
        </w:rPr>
      </w:pPr>
      <w:r>
        <w:rPr>
          <w:sz w:val="24"/>
        </w:rPr>
        <w:t>法定代表人或其委托代理人：</w:t>
      </w:r>
      <w:r>
        <w:rPr>
          <w:sz w:val="24"/>
          <w:u w:val="single"/>
        </w:rPr>
        <w:t xml:space="preserve">  </w:t>
      </w:r>
      <w:r>
        <w:rPr>
          <w:rFonts w:hint="eastAsia"/>
          <w:sz w:val="24"/>
          <w:u w:val="single"/>
        </w:rPr>
        <w:t xml:space="preserve">        </w:t>
      </w:r>
      <w:r>
        <w:rPr>
          <w:sz w:val="24"/>
          <w:u w:val="single"/>
        </w:rPr>
        <w:t xml:space="preserve">  </w:t>
      </w:r>
      <w:r>
        <w:rPr>
          <w:sz w:val="24"/>
        </w:rPr>
        <w:t xml:space="preserve">（签字）  </w:t>
      </w:r>
    </w:p>
    <w:p>
      <w:pPr>
        <w:ind w:firstLine="1920" w:firstLineChars="800"/>
      </w:pPr>
      <w:r>
        <w:rPr>
          <w:sz w:val="24"/>
          <w:u w:val="single"/>
        </w:rPr>
        <w:t xml:space="preserve">         </w:t>
      </w:r>
      <w:r>
        <w:rPr>
          <w:sz w:val="24"/>
        </w:rPr>
        <w:t>年</w:t>
      </w:r>
      <w:r>
        <w:rPr>
          <w:sz w:val="24"/>
          <w:u w:val="single"/>
        </w:rPr>
        <w:t xml:space="preserve">       </w:t>
      </w:r>
      <w:r>
        <w:rPr>
          <w:sz w:val="24"/>
        </w:rPr>
        <w:t xml:space="preserve">月 </w:t>
      </w:r>
      <w:r>
        <w:rPr>
          <w:sz w:val="24"/>
          <w:u w:val="single"/>
        </w:rPr>
        <w:t xml:space="preserve">    </w:t>
      </w:r>
      <w:r>
        <w:rPr>
          <w:sz w:val="24"/>
        </w:rPr>
        <w:t xml:space="preserve"> 日</w:t>
      </w:r>
    </w:p>
    <w:permEnd w:id="92"/>
    <w:p/>
    <w:p/>
    <w:p/>
    <w:p/>
    <w:p/>
    <w:p/>
    <w:p/>
    <w:p/>
    <w:p>
      <w:pPr>
        <w:sectPr>
          <w:headerReference r:id="rId9" w:type="first"/>
          <w:footerReference r:id="rId11" w:type="first"/>
          <w:headerReference r:id="rId8" w:type="even"/>
          <w:footerReference r:id="rId10" w:type="even"/>
          <w:pgSz w:w="11907" w:h="16840"/>
          <w:pgMar w:top="1220" w:right="1134" w:bottom="1134" w:left="1418" w:header="801" w:footer="907" w:gutter="0"/>
          <w:cols w:space="720" w:num="1"/>
          <w:docGrid w:linePitch="271" w:charSpace="0"/>
        </w:sectPr>
      </w:pPr>
    </w:p>
    <w:p>
      <w:pPr>
        <w:pStyle w:val="2"/>
        <w:rPr>
          <w:rFonts w:ascii="仿宋_GB2312" w:hAnsi="宋体" w:eastAsia="仿宋_GB2312"/>
          <w:b/>
          <w:sz w:val="44"/>
          <w:szCs w:val="44"/>
        </w:rPr>
      </w:pPr>
      <w:bookmarkStart w:id="575" w:name="_Toc47451002"/>
      <w:r>
        <w:rPr>
          <w:rFonts w:hint="eastAsia" w:ascii="仿宋_GB2312" w:hAnsi="宋体" w:eastAsia="仿宋_GB2312"/>
          <w:b/>
          <w:sz w:val="44"/>
          <w:szCs w:val="44"/>
        </w:rPr>
        <w:t>第三章  投标文件格式</w:t>
      </w:r>
      <w:bookmarkEnd w:id="24"/>
      <w:bookmarkEnd w:id="575"/>
    </w:p>
    <w:p>
      <w:pPr>
        <w:pStyle w:val="3"/>
        <w:rPr>
          <w:rFonts w:ascii="仿宋_GB2312" w:hAnsi="宋体" w:eastAsia="仿宋_GB2312"/>
          <w:bCs/>
        </w:rPr>
      </w:pPr>
      <w:bookmarkStart w:id="576" w:name="_Toc208106839"/>
      <w:bookmarkStart w:id="577" w:name="_Toc171743122"/>
      <w:r>
        <w:rPr>
          <w:rFonts w:hint="eastAsia" w:ascii="仿宋_GB2312" w:hAnsi="宋体" w:eastAsia="仿宋_GB2312"/>
        </w:rPr>
        <w:t>（一）商务标</w:t>
      </w:r>
      <w:bookmarkEnd w:id="576"/>
      <w:bookmarkEnd w:id="577"/>
    </w:p>
    <w:p>
      <w:pPr>
        <w:adjustRightInd w:val="0"/>
        <w:snapToGrid w:val="0"/>
        <w:spacing w:beforeLines="20" w:afterLines="20" w:line="540" w:lineRule="exact"/>
        <w:rPr>
          <w:rFonts w:ascii="仿宋_GB2312" w:eastAsia="仿宋_GB2312"/>
          <w:sz w:val="36"/>
        </w:rPr>
      </w:pPr>
    </w:p>
    <w:p>
      <w:pPr>
        <w:adjustRightInd w:val="0"/>
        <w:snapToGrid w:val="0"/>
        <w:spacing w:beforeLines="20" w:afterLines="20" w:line="540" w:lineRule="exact"/>
        <w:ind w:firstLine="2409" w:firstLineChars="1000"/>
        <w:rPr>
          <w:rFonts w:ascii="仿宋_GB2312" w:eastAsia="仿宋_GB2312"/>
          <w:b/>
          <w:sz w:val="24"/>
          <w:u w:val="single"/>
        </w:rPr>
      </w:pPr>
      <w:r>
        <w:rPr>
          <w:rFonts w:hint="eastAsia" w:ascii="仿宋_GB2312" w:hAnsi="宋体" w:eastAsia="仿宋_GB2312"/>
          <w:b/>
          <w:sz w:val="24"/>
          <w:u w:val="single"/>
        </w:rPr>
        <w:t xml:space="preserve">                              </w:t>
      </w:r>
      <w:r>
        <w:rPr>
          <w:rFonts w:hint="eastAsia" w:ascii="仿宋_GB2312" w:hAnsi="宋体" w:eastAsia="仿宋_GB2312"/>
          <w:b/>
          <w:sz w:val="24"/>
        </w:rPr>
        <w:t>工程施工招标</w:t>
      </w:r>
    </w:p>
    <w:p>
      <w:pPr>
        <w:pStyle w:val="19"/>
        <w:adjustRightInd w:val="0"/>
        <w:snapToGrid w:val="0"/>
        <w:spacing w:beforeLines="20" w:afterLines="20" w:line="540" w:lineRule="exact"/>
        <w:ind w:left="0" w:leftChars="0"/>
        <w:rPr>
          <w:rFonts w:ascii="仿宋_GB2312" w:eastAsia="仿宋_GB2312"/>
          <w:b/>
        </w:rPr>
      </w:pPr>
    </w:p>
    <w:p>
      <w:pPr>
        <w:pStyle w:val="19"/>
        <w:adjustRightInd w:val="0"/>
        <w:snapToGrid w:val="0"/>
        <w:spacing w:beforeLines="20" w:afterLines="20" w:line="540" w:lineRule="exact"/>
        <w:ind w:left="0" w:leftChars="0"/>
        <w:rPr>
          <w:rFonts w:ascii="仿宋_GB2312" w:eastAsia="仿宋_GB2312"/>
          <w:b/>
          <w:sz w:val="52"/>
        </w:rPr>
      </w:pPr>
    </w:p>
    <w:p>
      <w:pPr>
        <w:pStyle w:val="18"/>
        <w:adjustRightInd w:val="0"/>
        <w:snapToGrid w:val="0"/>
        <w:spacing w:beforeLines="20" w:afterLines="20" w:line="540" w:lineRule="exact"/>
        <w:jc w:val="center"/>
        <w:rPr>
          <w:rFonts w:ascii="仿宋_GB2312" w:eastAsia="仿宋_GB2312"/>
          <w:sz w:val="84"/>
        </w:rPr>
      </w:pPr>
      <w:r>
        <w:rPr>
          <w:rFonts w:hint="eastAsia" w:ascii="仿宋_GB2312" w:hAnsi="宋体" w:eastAsia="仿宋_GB2312"/>
          <w:sz w:val="52"/>
        </w:rPr>
        <w:t>投标文件</w:t>
      </w:r>
    </w:p>
    <w:p>
      <w:pPr>
        <w:pStyle w:val="18"/>
        <w:adjustRightInd w:val="0"/>
        <w:snapToGrid w:val="0"/>
        <w:spacing w:beforeLines="20" w:afterLines="20" w:line="540" w:lineRule="exact"/>
        <w:jc w:val="center"/>
        <w:rPr>
          <w:rFonts w:ascii="仿宋_GB2312" w:hAnsi="宋体" w:eastAsia="仿宋_GB2312"/>
        </w:rPr>
      </w:pPr>
    </w:p>
    <w:p>
      <w:pPr>
        <w:pStyle w:val="18"/>
        <w:adjustRightInd w:val="0"/>
        <w:snapToGrid w:val="0"/>
        <w:spacing w:beforeLines="20" w:afterLines="20" w:line="540" w:lineRule="exact"/>
        <w:jc w:val="center"/>
        <w:rPr>
          <w:rFonts w:ascii="仿宋_GB2312" w:eastAsia="仿宋_GB2312"/>
        </w:rPr>
      </w:pPr>
    </w:p>
    <w:p>
      <w:pPr>
        <w:pStyle w:val="18"/>
        <w:adjustRightInd w:val="0"/>
        <w:snapToGrid w:val="0"/>
        <w:spacing w:beforeLines="20" w:afterLines="20" w:line="540" w:lineRule="exact"/>
        <w:jc w:val="center"/>
        <w:rPr>
          <w:rFonts w:ascii="仿宋_GB2312" w:eastAsia="仿宋_GB2312"/>
        </w:rPr>
      </w:pPr>
    </w:p>
    <w:p>
      <w:pPr>
        <w:pStyle w:val="18"/>
        <w:adjustRightInd w:val="0"/>
        <w:snapToGrid w:val="0"/>
        <w:spacing w:beforeLines="20" w:afterLines="20" w:line="540" w:lineRule="exact"/>
        <w:jc w:val="center"/>
        <w:rPr>
          <w:rFonts w:ascii="仿宋_GB2312" w:eastAsia="仿宋_GB2312"/>
        </w:rPr>
      </w:pPr>
    </w:p>
    <w:p>
      <w:pPr>
        <w:pStyle w:val="18"/>
        <w:adjustRightInd w:val="0"/>
        <w:snapToGrid w:val="0"/>
        <w:spacing w:beforeLines="20" w:afterLines="20" w:line="540" w:lineRule="exact"/>
        <w:jc w:val="center"/>
        <w:rPr>
          <w:rFonts w:ascii="仿宋_GB2312" w:eastAsia="仿宋_GB2312"/>
        </w:rPr>
      </w:pPr>
    </w:p>
    <w:p>
      <w:pPr>
        <w:pStyle w:val="18"/>
        <w:adjustRightInd w:val="0"/>
        <w:snapToGrid w:val="0"/>
        <w:spacing w:beforeLines="20" w:afterLines="20" w:line="540" w:lineRule="exact"/>
        <w:jc w:val="center"/>
        <w:rPr>
          <w:rFonts w:ascii="仿宋_GB2312" w:eastAsia="仿宋_GB2312"/>
        </w:rPr>
      </w:pPr>
    </w:p>
    <w:p>
      <w:pPr>
        <w:pStyle w:val="18"/>
        <w:adjustRightInd w:val="0"/>
        <w:snapToGrid w:val="0"/>
        <w:spacing w:beforeLines="20" w:afterLines="20" w:line="540" w:lineRule="exact"/>
        <w:jc w:val="center"/>
        <w:rPr>
          <w:rFonts w:ascii="仿宋_GB2312" w:eastAsia="仿宋_GB2312"/>
        </w:rPr>
      </w:pPr>
    </w:p>
    <w:p>
      <w:pPr>
        <w:pStyle w:val="20"/>
        <w:adjustRightInd w:val="0"/>
        <w:snapToGrid w:val="0"/>
        <w:spacing w:beforeLines="20" w:afterLines="20" w:line="540" w:lineRule="exact"/>
        <w:ind w:left="130" w:leftChars="62" w:firstLine="1205" w:firstLineChars="500"/>
        <w:rPr>
          <w:rFonts w:ascii="仿宋_GB2312" w:eastAsia="仿宋_GB2312"/>
          <w:b/>
          <w:bCs/>
          <w:sz w:val="24"/>
          <w:u w:val="single"/>
        </w:rPr>
      </w:pPr>
      <w:r>
        <w:rPr>
          <w:rFonts w:hint="eastAsia" w:ascii="仿宋_GB2312" w:hAnsi="宋体" w:eastAsia="仿宋_GB2312"/>
          <w:b/>
          <w:bCs/>
          <w:sz w:val="24"/>
        </w:rPr>
        <w:t>项目名称：</w:t>
      </w:r>
      <w:r>
        <w:rPr>
          <w:rFonts w:hint="eastAsia" w:ascii="仿宋_GB2312" w:hAnsi="宋体" w:eastAsia="仿宋_GB2312"/>
          <w:b/>
          <w:bCs/>
          <w:sz w:val="24"/>
          <w:u w:val="single"/>
        </w:rPr>
        <w:t xml:space="preserve">                              </w:t>
      </w:r>
    </w:p>
    <w:p>
      <w:pPr>
        <w:pStyle w:val="20"/>
        <w:adjustRightInd w:val="0"/>
        <w:snapToGrid w:val="0"/>
        <w:spacing w:beforeLines="20" w:afterLines="20" w:line="540" w:lineRule="exact"/>
        <w:ind w:left="130" w:leftChars="62" w:firstLine="1205" w:firstLineChars="500"/>
        <w:rPr>
          <w:rFonts w:ascii="仿宋_GB2312" w:eastAsia="仿宋_GB2312"/>
          <w:b/>
          <w:bCs/>
          <w:sz w:val="24"/>
          <w:u w:val="single"/>
        </w:rPr>
      </w:pPr>
      <w:r>
        <w:rPr>
          <w:rFonts w:hint="eastAsia" w:ascii="仿宋_GB2312" w:hAnsi="宋体" w:eastAsia="仿宋_GB2312"/>
          <w:b/>
          <w:bCs/>
          <w:sz w:val="24"/>
        </w:rPr>
        <w:t>项目编号：</w:t>
      </w:r>
      <w:r>
        <w:rPr>
          <w:rFonts w:hint="eastAsia" w:ascii="仿宋_GB2312" w:hAnsi="宋体" w:eastAsia="仿宋_GB2312"/>
          <w:b/>
          <w:bCs/>
          <w:sz w:val="24"/>
          <w:u w:val="single"/>
        </w:rPr>
        <w:t xml:space="preserve">                              </w:t>
      </w:r>
    </w:p>
    <w:p>
      <w:pPr>
        <w:pStyle w:val="20"/>
        <w:adjustRightInd w:val="0"/>
        <w:snapToGrid w:val="0"/>
        <w:spacing w:beforeLines="20" w:afterLines="20" w:line="540" w:lineRule="exact"/>
        <w:ind w:left="130" w:leftChars="62" w:firstLine="1205" w:firstLineChars="500"/>
        <w:rPr>
          <w:rFonts w:ascii="仿宋_GB2312" w:eastAsia="仿宋_GB2312"/>
          <w:b/>
          <w:bCs/>
          <w:sz w:val="24"/>
        </w:rPr>
      </w:pPr>
      <w:r>
        <w:rPr>
          <w:rFonts w:hint="eastAsia" w:ascii="仿宋_GB2312" w:hAnsi="宋体" w:eastAsia="仿宋_GB2312"/>
          <w:b/>
          <w:bCs/>
          <w:sz w:val="24"/>
        </w:rPr>
        <w:t>投标文件内容：</w:t>
      </w:r>
      <w:r>
        <w:rPr>
          <w:rFonts w:hint="eastAsia" w:ascii="仿宋_GB2312" w:eastAsia="仿宋_GB2312"/>
          <w:b/>
          <w:bCs/>
          <w:sz w:val="24"/>
          <w:u w:val="single"/>
        </w:rPr>
        <w:tab/>
      </w:r>
      <w:r>
        <w:rPr>
          <w:rFonts w:hint="eastAsia" w:ascii="仿宋_GB2312" w:hAnsi="宋体" w:eastAsia="仿宋_GB2312"/>
          <w:b/>
          <w:bCs/>
          <w:sz w:val="24"/>
          <w:u w:val="single"/>
        </w:rPr>
        <w:t>投标文件商务标</w:t>
      </w:r>
      <w:r>
        <w:rPr>
          <w:rFonts w:hint="eastAsia" w:ascii="仿宋_GB2312" w:eastAsia="仿宋_GB2312"/>
          <w:b/>
          <w:bCs/>
          <w:sz w:val="24"/>
          <w:u w:val="single"/>
        </w:rPr>
        <w:tab/>
      </w:r>
      <w:r>
        <w:rPr>
          <w:rFonts w:hint="eastAsia" w:ascii="仿宋_GB2312" w:eastAsia="仿宋_GB2312"/>
          <w:b/>
          <w:bCs/>
          <w:sz w:val="24"/>
          <w:u w:val="single"/>
        </w:rPr>
        <w:tab/>
      </w:r>
      <w:r>
        <w:rPr>
          <w:rFonts w:hint="eastAsia" w:ascii="仿宋_GB2312" w:eastAsia="仿宋_GB2312"/>
          <w:b/>
          <w:bCs/>
          <w:sz w:val="24"/>
          <w:u w:val="single"/>
        </w:rPr>
        <w:t xml:space="preserve">  </w:t>
      </w:r>
    </w:p>
    <w:p>
      <w:pPr>
        <w:pStyle w:val="20"/>
        <w:adjustRightInd w:val="0"/>
        <w:snapToGrid w:val="0"/>
        <w:spacing w:beforeLines="20" w:afterLines="20" w:line="540" w:lineRule="exact"/>
        <w:ind w:left="145" w:leftChars="69" w:firstLine="1205" w:firstLineChars="500"/>
        <w:rPr>
          <w:rFonts w:ascii="仿宋_GB2312" w:eastAsia="仿宋_GB2312"/>
          <w:b/>
          <w:bCs/>
          <w:sz w:val="24"/>
          <w:u w:val="single"/>
        </w:rPr>
      </w:pPr>
      <w:r>
        <w:rPr>
          <w:rFonts w:hint="eastAsia" w:ascii="仿宋_GB2312" w:hAnsi="宋体" w:eastAsia="仿宋_GB2312"/>
          <w:b/>
          <w:bCs/>
          <w:sz w:val="24"/>
        </w:rPr>
        <w:t>投标人：</w:t>
      </w:r>
      <w:r>
        <w:rPr>
          <w:rFonts w:hint="eastAsia" w:ascii="仿宋_GB2312" w:hAnsi="宋体" w:eastAsia="仿宋_GB2312"/>
          <w:b/>
          <w:bCs/>
          <w:sz w:val="24"/>
          <w:u w:val="single"/>
        </w:rPr>
        <w:t xml:space="preserve">（盖单位章）                       </w:t>
      </w:r>
    </w:p>
    <w:p>
      <w:pPr>
        <w:pStyle w:val="20"/>
        <w:adjustRightInd w:val="0"/>
        <w:snapToGrid w:val="0"/>
        <w:spacing w:beforeLines="20" w:afterLines="20" w:line="540" w:lineRule="exact"/>
        <w:ind w:left="147" w:leftChars="70" w:firstLine="1205" w:firstLineChars="500"/>
        <w:rPr>
          <w:rFonts w:ascii="仿宋_GB2312" w:eastAsia="仿宋_GB2312"/>
          <w:b/>
          <w:bCs/>
          <w:sz w:val="24"/>
          <w:u w:val="single"/>
        </w:rPr>
      </w:pPr>
      <w:r>
        <w:rPr>
          <w:rFonts w:hint="eastAsia" w:ascii="仿宋_GB2312" w:hAnsi="宋体" w:eastAsia="仿宋_GB2312"/>
          <w:b/>
          <w:bCs/>
          <w:sz w:val="24"/>
        </w:rPr>
        <w:t>法定代表人或企业负责人：</w:t>
      </w:r>
      <w:r>
        <w:rPr>
          <w:rFonts w:hint="eastAsia" w:ascii="仿宋_GB2312" w:hAnsi="宋体" w:eastAsia="仿宋_GB2312"/>
          <w:b/>
          <w:bCs/>
          <w:sz w:val="24"/>
          <w:u w:val="single"/>
        </w:rPr>
        <w:t xml:space="preserve">（签字或个人印鉴章）   </w:t>
      </w:r>
    </w:p>
    <w:p>
      <w:pPr>
        <w:adjustRightInd w:val="0"/>
        <w:snapToGrid w:val="0"/>
        <w:spacing w:beforeLines="20" w:afterLines="20" w:line="540" w:lineRule="exact"/>
        <w:rPr>
          <w:rFonts w:ascii="仿宋_GB2312" w:eastAsia="仿宋_GB2312"/>
          <w:b/>
          <w:sz w:val="28"/>
        </w:rPr>
      </w:pPr>
    </w:p>
    <w:p>
      <w:pPr>
        <w:adjustRightInd w:val="0"/>
        <w:snapToGrid w:val="0"/>
        <w:spacing w:beforeLines="20" w:afterLines="20" w:line="540" w:lineRule="exact"/>
        <w:jc w:val="center"/>
        <w:rPr>
          <w:rFonts w:ascii="仿宋_GB2312" w:eastAsia="仿宋_GB2312"/>
          <w:b/>
          <w:sz w:val="24"/>
        </w:rPr>
      </w:pPr>
      <w:r>
        <w:rPr>
          <w:rFonts w:hint="eastAsia" w:ascii="仿宋_GB2312" w:hAnsi="宋体" w:eastAsia="仿宋_GB2312"/>
          <w:b/>
          <w:sz w:val="24"/>
        </w:rPr>
        <w:t>日期：</w:t>
      </w:r>
      <w:r>
        <w:rPr>
          <w:rFonts w:hint="eastAsia" w:ascii="仿宋_GB2312" w:hAnsi="宋体" w:eastAsia="仿宋_GB2312"/>
          <w:b/>
          <w:sz w:val="24"/>
          <w:u w:val="single"/>
        </w:rPr>
        <w:t xml:space="preserve">     </w:t>
      </w:r>
      <w:r>
        <w:rPr>
          <w:rFonts w:hint="eastAsia" w:ascii="仿宋_GB2312" w:hAnsi="宋体" w:eastAsia="仿宋_GB2312"/>
          <w:b/>
          <w:sz w:val="24"/>
        </w:rPr>
        <w:t>年</w:t>
      </w:r>
      <w:r>
        <w:rPr>
          <w:rFonts w:hint="eastAsia" w:ascii="仿宋_GB2312" w:hAnsi="宋体" w:eastAsia="仿宋_GB2312"/>
          <w:b/>
          <w:sz w:val="24"/>
          <w:u w:val="single"/>
        </w:rPr>
        <w:t xml:space="preserve">    </w:t>
      </w:r>
      <w:r>
        <w:rPr>
          <w:rFonts w:hint="eastAsia" w:ascii="仿宋_GB2312" w:hAnsi="宋体" w:eastAsia="仿宋_GB2312"/>
          <w:b/>
          <w:sz w:val="24"/>
        </w:rPr>
        <w:t>月</w:t>
      </w:r>
      <w:r>
        <w:rPr>
          <w:rFonts w:hint="eastAsia" w:ascii="仿宋_GB2312" w:hAnsi="宋体" w:eastAsia="仿宋_GB2312"/>
          <w:b/>
          <w:sz w:val="24"/>
          <w:u w:val="single"/>
        </w:rPr>
        <w:t xml:space="preserve">    </w:t>
      </w:r>
      <w:r>
        <w:rPr>
          <w:rFonts w:hint="eastAsia" w:ascii="仿宋_GB2312" w:hAnsi="宋体" w:eastAsia="仿宋_GB2312"/>
          <w:b/>
          <w:sz w:val="24"/>
        </w:rPr>
        <w:t>日</w:t>
      </w:r>
    </w:p>
    <w:p>
      <w:pPr>
        <w:adjustRightInd w:val="0"/>
        <w:snapToGrid w:val="0"/>
        <w:spacing w:beforeLines="20" w:afterLines="20" w:line="540" w:lineRule="exact"/>
        <w:rPr>
          <w:rFonts w:ascii="仿宋_GB2312" w:eastAsia="仿宋_GB2312"/>
          <w:b/>
          <w:sz w:val="30"/>
        </w:rPr>
      </w:pPr>
    </w:p>
    <w:p>
      <w:pPr>
        <w:adjustRightInd w:val="0"/>
        <w:snapToGrid w:val="0"/>
        <w:spacing w:beforeLines="20" w:afterLines="20" w:line="540" w:lineRule="exact"/>
        <w:rPr>
          <w:rFonts w:ascii="仿宋_GB2312" w:eastAsia="仿宋_GB2312"/>
          <w:b/>
          <w:sz w:val="30"/>
        </w:rPr>
      </w:pPr>
    </w:p>
    <w:p>
      <w:pPr>
        <w:pStyle w:val="26"/>
        <w:jc w:val="center"/>
        <w:rPr>
          <w:rFonts w:ascii="仿宋_GB2312" w:hAnsi="宋体" w:eastAsia="仿宋_GB2312"/>
          <w:b/>
          <w:sz w:val="28"/>
          <w:szCs w:val="28"/>
        </w:rPr>
        <w:sectPr>
          <w:pgSz w:w="11907" w:h="16840"/>
          <w:pgMar w:top="1220" w:right="1134" w:bottom="1134" w:left="1418" w:header="801" w:footer="907" w:gutter="0"/>
          <w:cols w:space="720" w:num="1"/>
          <w:docGrid w:linePitch="271" w:charSpace="0"/>
        </w:sectPr>
      </w:pPr>
      <w:bookmarkStart w:id="578" w:name="_Toc171741990"/>
      <w:bookmarkStart w:id="579" w:name="_Toc171581547"/>
      <w:bookmarkStart w:id="580" w:name="_Toc171581367"/>
    </w:p>
    <w:bookmarkEnd w:id="578"/>
    <w:bookmarkEnd w:id="579"/>
    <w:bookmarkEnd w:id="580"/>
    <w:p>
      <w:pPr>
        <w:pStyle w:val="26"/>
        <w:spacing w:line="360" w:lineRule="auto"/>
        <w:jc w:val="center"/>
        <w:rPr>
          <w:rFonts w:ascii="仿宋_GB2312" w:hAnsi="宋体" w:eastAsia="仿宋_GB2312"/>
          <w:b/>
          <w:sz w:val="30"/>
          <w:szCs w:val="30"/>
        </w:rPr>
      </w:pPr>
      <w:bookmarkStart w:id="581" w:name="_Toc171581370"/>
      <w:bookmarkStart w:id="582" w:name="_Toc171741993"/>
      <w:bookmarkStart w:id="583" w:name="_Toc171581550"/>
      <w:bookmarkStart w:id="584" w:name="_Toc17197761"/>
      <w:r>
        <w:rPr>
          <w:rFonts w:hint="eastAsia" w:ascii="仿宋_GB2312" w:hAnsi="宋体" w:eastAsia="仿宋_GB2312"/>
          <w:b/>
          <w:sz w:val="30"/>
          <w:szCs w:val="30"/>
        </w:rPr>
        <w:t>一、投 标 函</w:t>
      </w:r>
    </w:p>
    <w:p>
      <w:pPr>
        <w:adjustRightInd w:val="0"/>
        <w:snapToGrid w:val="0"/>
        <w:spacing w:line="400" w:lineRule="exact"/>
        <w:rPr>
          <w:rFonts w:ascii="仿宋_GB2312" w:hAnsi="宋体" w:eastAsia="仿宋_GB2312"/>
          <w:sz w:val="24"/>
          <w:u w:val="single"/>
        </w:rPr>
      </w:pPr>
      <w:r>
        <w:rPr>
          <w:rFonts w:hint="eastAsia" w:ascii="仿宋_GB2312" w:hAnsi="宋体" w:eastAsia="仿宋_GB2312"/>
          <w:sz w:val="24"/>
        </w:rPr>
        <w:t>致：</w:t>
      </w:r>
      <w:r>
        <w:rPr>
          <w:rFonts w:hint="eastAsia" w:ascii="仿宋_GB2312" w:hAnsi="宋体" w:eastAsia="仿宋_GB2312"/>
          <w:sz w:val="24"/>
          <w:u w:val="single"/>
        </w:rPr>
        <w:t xml:space="preserve">   （招标人名称）   </w:t>
      </w:r>
    </w:p>
    <w:p>
      <w:pPr>
        <w:tabs>
          <w:tab w:val="left" w:pos="7560"/>
        </w:tabs>
        <w:adjustRightInd w:val="0"/>
        <w:snapToGrid w:val="0"/>
        <w:spacing w:line="400" w:lineRule="exact"/>
        <w:ind w:firstLine="480" w:firstLineChars="200"/>
        <w:rPr>
          <w:rFonts w:ascii="仿宋_GB2312" w:hAnsi="宋体" w:eastAsia="仿宋_GB2312"/>
          <w:sz w:val="24"/>
        </w:rPr>
      </w:pP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1、根据</w:t>
      </w:r>
      <w:r>
        <w:rPr>
          <w:rFonts w:hint="eastAsia" w:ascii="仿宋_GB2312" w:hAnsi="宋体" w:eastAsia="仿宋_GB2312"/>
          <w:sz w:val="24"/>
          <w:u w:val="single"/>
        </w:rPr>
        <w:t xml:space="preserve">      （项目名称）      </w:t>
      </w:r>
      <w:r>
        <w:rPr>
          <w:rFonts w:hint="eastAsia" w:ascii="仿宋_GB2312" w:hAnsi="宋体" w:eastAsia="仿宋_GB2312"/>
          <w:sz w:val="24"/>
        </w:rPr>
        <w:t>工程（项目编号：</w:t>
      </w:r>
      <w:r>
        <w:rPr>
          <w:rFonts w:hint="eastAsia" w:ascii="仿宋_GB2312" w:hAnsi="宋体" w:eastAsia="仿宋_GB2312"/>
          <w:sz w:val="24"/>
          <w:u w:val="single"/>
        </w:rPr>
        <w:t xml:space="preserve">            </w:t>
      </w:r>
      <w:r>
        <w:rPr>
          <w:rFonts w:hint="eastAsia" w:ascii="仿宋_GB2312" w:hAnsi="宋体" w:eastAsia="仿宋_GB2312"/>
          <w:sz w:val="24"/>
        </w:rPr>
        <w:t>）招标文件要求，遵照《中华人民共和国招标投标法》等有关规定，经踏勘项目现场和研究招标文件的投标须知、合同条款、图纸和工程建设技术标准及其他有关文件后，我方接受上述文件要求，并对工程量清单及控制价无异议。我方愿以</w:t>
      </w:r>
      <w:r>
        <w:rPr>
          <w:rFonts w:hint="eastAsia" w:ascii="仿宋_GB2312" w:hAnsi="宋体" w:eastAsia="仿宋_GB2312"/>
          <w:sz w:val="24"/>
          <w:u w:val="single"/>
        </w:rPr>
        <w:t xml:space="preserve">人民币（大写）        </w:t>
      </w:r>
      <w:r>
        <w:rPr>
          <w:rFonts w:hint="eastAsia" w:ascii="仿宋_GB2312" w:hAnsi="宋体" w:eastAsia="仿宋_GB2312"/>
          <w:sz w:val="24"/>
        </w:rPr>
        <w:t>元（￥：</w:t>
      </w:r>
      <w:r>
        <w:rPr>
          <w:rFonts w:hint="eastAsia" w:ascii="仿宋_GB2312" w:hAnsi="宋体" w:eastAsia="仿宋_GB2312"/>
          <w:sz w:val="24"/>
          <w:u w:val="single"/>
        </w:rPr>
        <w:t xml:space="preserve">        </w:t>
      </w:r>
      <w:r>
        <w:rPr>
          <w:rFonts w:hint="eastAsia" w:ascii="仿宋_GB2312" w:hAnsi="宋体" w:eastAsia="仿宋_GB2312"/>
          <w:sz w:val="24"/>
        </w:rPr>
        <w:t>元）的总报价进行投标，</w:t>
      </w:r>
      <w:r>
        <w:rPr>
          <w:rFonts w:hint="eastAsia" w:ascii="仿宋_GB2312" w:hAnsi="宋体" w:eastAsia="仿宋_GB2312"/>
          <w:bCs/>
          <w:sz w:val="24"/>
        </w:rPr>
        <w:t>并承诺按招标文件、施工图纸、合同条款和工程建设技术标准等要求，</w:t>
      </w:r>
      <w:r>
        <w:rPr>
          <w:rFonts w:hint="eastAsia" w:ascii="仿宋_GB2312" w:hAnsi="宋体" w:eastAsia="仿宋_GB2312"/>
          <w:sz w:val="24"/>
        </w:rPr>
        <w:t>承担</w:t>
      </w:r>
      <w:r>
        <w:rPr>
          <w:rFonts w:hint="eastAsia" w:ascii="仿宋_GB2312" w:hAnsi="宋体" w:eastAsia="仿宋_GB2312"/>
          <w:bCs/>
          <w:sz w:val="24"/>
        </w:rPr>
        <w:t>上述工程的施工、竣工，并承担任何质量缺陷保修责任。</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2、参与本项目投标活动系我方自愿行为，投标文件内容及资料没有弄虚作假。</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3、我方已详细审核并认可全部招标文件及有关附件，充分理解投标价格不得低于企业个别成本的有关规定。我方经成本核算，所填报的投标报价不低于本企业成本，无低于成本的恶意报价行为。</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4、我方自觉遵守国家及省、市有关招标投标的法律、法规、规章及规范性文件规定，自觉维护蚌埠市招标投标市场秩序。</w:t>
      </w:r>
    </w:p>
    <w:p>
      <w:pPr>
        <w:tabs>
          <w:tab w:val="left" w:pos="7560"/>
        </w:tabs>
        <w:adjustRightInd w:val="0"/>
        <w:snapToGrid w:val="0"/>
        <w:spacing w:line="400" w:lineRule="exact"/>
        <w:ind w:firstLine="480" w:firstLineChars="200"/>
        <w:rPr>
          <w:rFonts w:ascii="仿宋_GB2312" w:hAnsi="宋体" w:eastAsia="仿宋_GB2312"/>
          <w:sz w:val="24"/>
        </w:rPr>
      </w:pPr>
      <w:permStart w:id="93" w:edGrp="everyone"/>
      <w:r>
        <w:rPr>
          <w:rFonts w:hint="eastAsia" w:ascii="仿宋_GB2312" w:hAnsi="宋体" w:eastAsia="仿宋_GB2312"/>
          <w:sz w:val="24"/>
        </w:rPr>
        <w:t>5、我方遵守蚌埠市公共资源交易中心各项交易管理制度和交易现场纪律，服从现场工作人员管理。</w:t>
      </w:r>
    </w:p>
    <w:permEnd w:id="93"/>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6、我方保证没有组织、参与围标、串标，没有出卖（借）、转让资质证书或让他人挂靠投标。</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7、我方保证不与招标人或者评标委员会成员私下联络和串通以牟取中标；不以他人名义投标或者以其他方式弄虚作假骗取中标；不在开标后进行虚假恶意投诉。</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8、我方承认投标函附录是我方投标函的组成部分。</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9、一旦中标，我方保证按招标文件或开工令的要求如期开工，并按</w:t>
      </w:r>
      <w:r>
        <w:rPr>
          <w:rFonts w:hint="eastAsia" w:ascii="仿宋_GB2312" w:hAnsi="宋体" w:eastAsia="仿宋_GB2312"/>
          <w:sz w:val="24"/>
          <w:u w:val="single"/>
        </w:rPr>
        <w:t>　</w:t>
      </w:r>
      <w:r>
        <w:rPr>
          <w:rFonts w:hint="eastAsia" w:ascii="仿宋_GB2312" w:hAnsi="宋体" w:eastAsia="仿宋_GB2312"/>
          <w:sz w:val="24"/>
        </w:rPr>
        <w:t>天的工期竣工，移交整个工程。</w:t>
      </w:r>
    </w:p>
    <w:p>
      <w:pPr>
        <w:pStyle w:val="19"/>
        <w:adjustRightInd w:val="0"/>
        <w:snapToGrid w:val="0"/>
        <w:spacing w:after="0" w:line="400" w:lineRule="exact"/>
        <w:ind w:left="0" w:leftChars="0" w:firstLine="480" w:firstLineChars="200"/>
        <w:rPr>
          <w:rFonts w:ascii="仿宋_GB2312" w:hAnsi="宋体" w:eastAsia="仿宋_GB2312"/>
          <w:sz w:val="24"/>
        </w:rPr>
      </w:pPr>
      <w:r>
        <w:rPr>
          <w:rFonts w:hint="eastAsia" w:ascii="仿宋_GB2312" w:hAnsi="宋体" w:eastAsia="仿宋_GB2312"/>
          <w:sz w:val="24"/>
        </w:rPr>
        <w:t>10、一旦我方中标，我方保证工程质量达到</w:t>
      </w:r>
      <w:r>
        <w:rPr>
          <w:rFonts w:hint="eastAsia" w:ascii="仿宋_GB2312" w:hAnsi="宋体" w:eastAsia="仿宋_GB2312"/>
          <w:sz w:val="24"/>
          <w:u w:val="single"/>
        </w:rPr>
        <w:t xml:space="preserve">            </w:t>
      </w:r>
      <w:r>
        <w:rPr>
          <w:rFonts w:hint="eastAsia" w:ascii="仿宋_GB2312" w:hAnsi="宋体" w:eastAsia="仿宋_GB2312"/>
          <w:sz w:val="24"/>
        </w:rPr>
        <w:t>标准。</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11、一旦我方中标，我方保证按照投标文件承诺派驻管理人员并投入机械设备，并按投标文件中的施工组织设计组织施工，不转包及使用挂靠队伍施工。一旦我方转包、挂靠等违法违规行为查实，中标无效，已进场施工的无条件退场并承担相应的法律责任。</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12、一旦我方中标，我方保证用于本工程的主要材料、设备，质量不低于招标文件规定和投标文件承诺的合格产品，并在使用之前经建设、监理、设计单位确认后使用。</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13、一旦我方中标，我方保证在规定的时间内由我方法定代表人亲自签订合同，并及时进场施工，认真履行合同和其它各项承诺。</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14、一旦我方中标，我方保证在规定的时间内按招标文件规定的方式、金额向招标人提交履约担保。</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15、一旦我方中标，将密切配合建设单位及监理单位开展工作，服从建设单位派驻现场代表、现场监理人员以及行政监管人员的管理。</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16、一旦我方中标，将按照签订的合同条款内容严格履约，不发生恶意提高造价的行为。</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17、我方同意所提交的投标文件在招标文件的投标须知中规定的投标有效期内有效，在此期间内如果中标，我方将受此约束。</w:t>
      </w:r>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18、除非另外达成协议并生效，你方的中标通知书和本投标文件以及招标文件、招标文件澄清、修改通知、补充文件将成为约束双方的合同文件的组成部分。</w:t>
      </w:r>
    </w:p>
    <w:p>
      <w:pPr>
        <w:tabs>
          <w:tab w:val="left" w:pos="7560"/>
        </w:tabs>
        <w:adjustRightInd w:val="0"/>
        <w:snapToGrid w:val="0"/>
        <w:spacing w:line="400" w:lineRule="exact"/>
        <w:ind w:firstLine="480" w:firstLineChars="200"/>
        <w:rPr>
          <w:rFonts w:ascii="仿宋_GB2312" w:hAnsi="宋体" w:eastAsia="仿宋_GB2312"/>
          <w:sz w:val="24"/>
        </w:rPr>
      </w:pPr>
      <w:permStart w:id="94" w:edGrp="everyone"/>
      <w:r>
        <w:rPr>
          <w:rFonts w:hint="eastAsia" w:ascii="仿宋_GB2312" w:hAnsi="宋体" w:eastAsia="仿宋_GB2312"/>
          <w:sz w:val="24"/>
        </w:rPr>
        <w:t>19、我方将与本投标函一起，提交人民币</w:t>
      </w:r>
      <w:r>
        <w:rPr>
          <w:rFonts w:hint="eastAsia" w:ascii="仿宋_GB2312" w:hAnsi="宋体" w:eastAsia="仿宋_GB2312"/>
          <w:sz w:val="24"/>
          <w:u w:val="single"/>
        </w:rPr>
        <w:t xml:space="preserve">        </w:t>
      </w:r>
      <w:r>
        <w:rPr>
          <w:rFonts w:hint="eastAsia" w:ascii="仿宋_GB2312" w:hAnsi="宋体" w:eastAsia="仿宋_GB2312"/>
          <w:sz w:val="24"/>
        </w:rPr>
        <w:t>元作为保证金（含投标保证金）。</w:t>
      </w:r>
      <w:permEnd w:id="94"/>
    </w:p>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20、我方承诺：</w:t>
      </w:r>
    </w:p>
    <w:p>
      <w:pPr>
        <w:tabs>
          <w:tab w:val="left" w:pos="7560"/>
        </w:tabs>
        <w:adjustRightInd w:val="0"/>
        <w:snapToGrid w:val="0"/>
        <w:spacing w:line="400" w:lineRule="exact"/>
        <w:ind w:left="479" w:leftChars="228"/>
        <w:rPr>
          <w:rFonts w:ascii="黑体" w:hAnsi="宋体" w:eastAsia="黑体"/>
          <w:sz w:val="24"/>
        </w:rPr>
      </w:pPr>
      <w:permStart w:id="95" w:edGrp="everyone"/>
      <w:r>
        <w:rPr>
          <w:rFonts w:hint="eastAsia" w:ascii="黑体" w:hAnsi="宋体" w:eastAsia="黑体"/>
          <w:sz w:val="24"/>
        </w:rPr>
        <w:t>（1）我单位在蚌埠市公共资源交易中心投标并中标后依法向蚌埠市税务部门缴纳税收。</w:t>
      </w:r>
      <w:permEnd w:id="95"/>
      <w:r>
        <w:rPr>
          <w:rFonts w:hint="eastAsia" w:ascii="黑体" w:hAnsi="宋体" w:eastAsia="黑体"/>
          <w:sz w:val="24"/>
        </w:rPr>
        <w:t>（2）一旦我方中标，我方保证在规定的时间内按招标文件规定的时间、金额向招标代理机构缴纳招标代理服务费。</w:t>
      </w:r>
    </w:p>
    <w:p>
      <w:pPr>
        <w:tabs>
          <w:tab w:val="left" w:pos="7560"/>
        </w:tabs>
        <w:adjustRightInd w:val="0"/>
        <w:snapToGrid w:val="0"/>
        <w:spacing w:line="400" w:lineRule="exact"/>
        <w:ind w:firstLine="480" w:firstLineChars="200"/>
        <w:rPr>
          <w:rFonts w:ascii="黑体" w:hAnsi="宋体" w:eastAsia="黑体"/>
          <w:sz w:val="24"/>
        </w:rPr>
      </w:pPr>
      <w:r>
        <w:rPr>
          <w:rFonts w:hint="eastAsia" w:ascii="黑体" w:hAnsi="宋体" w:eastAsia="黑体"/>
          <w:sz w:val="24"/>
        </w:rPr>
        <w:t>（3）我方已对招标人提供的工程量清单和控制价进行认真复核，确认无误，中标后不再另行调整。</w:t>
      </w:r>
    </w:p>
    <w:p>
      <w:pPr>
        <w:tabs>
          <w:tab w:val="left" w:pos="7560"/>
        </w:tabs>
        <w:adjustRightInd w:val="0"/>
        <w:snapToGrid w:val="0"/>
        <w:spacing w:line="400" w:lineRule="exact"/>
        <w:ind w:firstLine="480" w:firstLineChars="200"/>
        <w:rPr>
          <w:rFonts w:ascii="黑体" w:hAnsi="宋体" w:eastAsia="黑体"/>
          <w:sz w:val="24"/>
        </w:rPr>
      </w:pPr>
      <w:permStart w:id="96" w:edGrp="everyone"/>
      <w:r>
        <w:rPr>
          <w:rFonts w:hint="eastAsia" w:ascii="黑体" w:hAnsi="宋体" w:eastAsia="黑体"/>
          <w:sz w:val="24"/>
        </w:rPr>
        <w:t>（4）我方完全同意并认可招标文件中关于投标保证金不予退还和其他有关处罚的规定，并在出现违法违规情形时，自愿接受招标监管部门及相关单位的处理。</w:t>
      </w:r>
    </w:p>
    <w:permEnd w:id="96"/>
    <w:p>
      <w:pPr>
        <w:tabs>
          <w:tab w:val="left" w:pos="7560"/>
        </w:tabs>
        <w:adjustRightInd w:val="0"/>
        <w:snapToGrid w:val="0"/>
        <w:spacing w:line="400" w:lineRule="exact"/>
        <w:ind w:firstLine="480" w:firstLineChars="200"/>
        <w:rPr>
          <w:rFonts w:ascii="仿宋_GB2312" w:hAnsi="宋体" w:eastAsia="仿宋_GB2312"/>
          <w:sz w:val="24"/>
        </w:rPr>
      </w:pPr>
      <w:r>
        <w:rPr>
          <w:rFonts w:hint="eastAsia" w:ascii="仿宋_GB2312" w:hAnsi="宋体" w:eastAsia="仿宋_GB2312"/>
          <w:sz w:val="24"/>
        </w:rPr>
        <w:t>21、其他补充说明：</w:t>
      </w:r>
      <w:r>
        <w:rPr>
          <w:rFonts w:hint="eastAsia" w:ascii="仿宋_GB2312" w:hAnsi="宋体" w:eastAsia="仿宋_GB2312"/>
          <w:sz w:val="24"/>
          <w:u w:val="single"/>
        </w:rPr>
        <w:t xml:space="preserve">             （补充说明事项）       </w:t>
      </w:r>
    </w:p>
    <w:p>
      <w:pPr>
        <w:spacing w:line="400" w:lineRule="exact"/>
        <w:ind w:firstLine="480" w:firstLineChars="200"/>
        <w:rPr>
          <w:rFonts w:ascii="仿宋_GB2312" w:hAnsi="宋体" w:eastAsia="仿宋_GB2312"/>
          <w:sz w:val="24"/>
        </w:rPr>
      </w:pPr>
      <w:r>
        <w:rPr>
          <w:rFonts w:hint="eastAsia" w:ascii="仿宋_GB2312" w:hAnsi="宋体" w:eastAsia="仿宋_GB2312"/>
          <w:sz w:val="24"/>
        </w:rPr>
        <w:t>22、如有违反本承诺书内容的行为，愿意承担由此产生的法律责任及后果。</w:t>
      </w:r>
    </w:p>
    <w:p>
      <w:pPr>
        <w:tabs>
          <w:tab w:val="left" w:pos="7560"/>
        </w:tabs>
        <w:adjustRightInd w:val="0"/>
        <w:snapToGrid w:val="0"/>
        <w:spacing w:line="400" w:lineRule="exact"/>
        <w:ind w:firstLine="480" w:firstLineChars="200"/>
        <w:rPr>
          <w:rFonts w:ascii="仿宋_GB2312" w:hAnsi="宋体" w:eastAsia="仿宋_GB2312"/>
          <w:sz w:val="24"/>
        </w:rPr>
      </w:pPr>
    </w:p>
    <w:p>
      <w:pPr>
        <w:adjustRightInd w:val="0"/>
        <w:snapToGrid w:val="0"/>
        <w:spacing w:line="400" w:lineRule="exact"/>
        <w:rPr>
          <w:rFonts w:ascii="仿宋_GB2312" w:hAnsi="宋体" w:eastAsia="仿宋_GB2312"/>
          <w:sz w:val="24"/>
        </w:rPr>
      </w:pPr>
    </w:p>
    <w:p>
      <w:pPr>
        <w:adjustRightInd w:val="0"/>
        <w:snapToGrid w:val="0"/>
        <w:spacing w:line="400" w:lineRule="exact"/>
        <w:rPr>
          <w:rFonts w:ascii="仿宋_GB2312" w:hAnsi="宋体" w:eastAsia="仿宋_GB2312"/>
          <w:sz w:val="24"/>
          <w:u w:val="single"/>
        </w:rPr>
      </w:pPr>
      <w:r>
        <w:rPr>
          <w:rFonts w:hint="eastAsia" w:ascii="仿宋_GB2312" w:hAnsi="宋体" w:eastAsia="仿宋_GB2312"/>
          <w:sz w:val="24"/>
        </w:rPr>
        <w:t>投 标 人：</w:t>
      </w:r>
      <w:r>
        <w:rPr>
          <w:rFonts w:hint="eastAsia" w:ascii="仿宋_GB2312" w:hAnsi="宋体" w:eastAsia="仿宋_GB2312"/>
          <w:sz w:val="24"/>
          <w:u w:val="single"/>
        </w:rPr>
        <w:t xml:space="preserve">      名称   （盖单位章）  </w:t>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u w:val="single"/>
        </w:rPr>
        <w:t xml:space="preserve">  </w:t>
      </w:r>
    </w:p>
    <w:p>
      <w:pPr>
        <w:pStyle w:val="20"/>
        <w:adjustRightInd w:val="0"/>
        <w:snapToGrid w:val="0"/>
        <w:spacing w:line="400" w:lineRule="exact"/>
        <w:ind w:left="121" w:leftChars="11" w:hanging="98" w:hangingChars="41"/>
        <w:rPr>
          <w:rFonts w:ascii="仿宋_GB2312" w:hAnsi="宋体" w:eastAsia="仿宋_GB2312"/>
          <w:sz w:val="24"/>
          <w:u w:val="single"/>
        </w:rPr>
      </w:pPr>
      <w:r>
        <w:rPr>
          <w:rFonts w:hint="eastAsia" w:ascii="仿宋_GB2312" w:hAnsi="宋体" w:eastAsia="仿宋_GB2312"/>
          <w:sz w:val="24"/>
        </w:rPr>
        <w:t>单位地址：</w:t>
      </w:r>
      <w:r>
        <w:rPr>
          <w:rFonts w:hint="eastAsia" w:ascii="仿宋_GB2312" w:hAnsi="宋体" w:eastAsia="仿宋_GB2312"/>
          <w:sz w:val="24"/>
        </w:rPr>
        <w:tab/>
      </w:r>
      <w:r>
        <w:rPr>
          <w:rFonts w:hint="eastAsia" w:ascii="仿宋_GB2312" w:hAnsi="宋体" w:eastAsia="仿宋_GB2312"/>
          <w:sz w:val="24"/>
          <w:u w:val="single"/>
        </w:rPr>
        <w:t xml:space="preserve">                                                </w:t>
      </w:r>
    </w:p>
    <w:p>
      <w:pPr>
        <w:adjustRightInd w:val="0"/>
        <w:snapToGrid w:val="0"/>
        <w:spacing w:line="400" w:lineRule="exact"/>
        <w:rPr>
          <w:rFonts w:ascii="仿宋_GB2312" w:hAnsi="宋体" w:eastAsia="仿宋_GB2312"/>
          <w:sz w:val="24"/>
          <w:u w:val="single"/>
        </w:rPr>
      </w:pPr>
      <w:r>
        <w:rPr>
          <w:rFonts w:hint="eastAsia" w:ascii="仿宋_GB2312" w:hAnsi="宋体" w:eastAsia="仿宋_GB2312"/>
          <w:sz w:val="24"/>
        </w:rPr>
        <w:t>法定代表人或企业负责人：</w:t>
      </w:r>
      <w:r>
        <w:rPr>
          <w:rFonts w:hint="eastAsia" w:ascii="仿宋_GB2312" w:hAnsi="宋体" w:eastAsia="仿宋_GB2312"/>
          <w:sz w:val="24"/>
          <w:u w:val="single"/>
        </w:rPr>
        <w:t xml:space="preserve">           （签字或个人印鉴章）   </w:t>
      </w:r>
    </w:p>
    <w:p>
      <w:pPr>
        <w:adjustRightInd w:val="0"/>
        <w:snapToGrid w:val="0"/>
        <w:spacing w:line="400" w:lineRule="exact"/>
        <w:rPr>
          <w:rFonts w:ascii="仿宋_GB2312" w:hAnsi="宋体" w:eastAsia="仿宋_GB2312"/>
          <w:sz w:val="24"/>
          <w:u w:val="single"/>
        </w:rPr>
      </w:pPr>
      <w:r>
        <w:rPr>
          <w:rFonts w:hint="eastAsia" w:ascii="仿宋_GB2312" w:hAnsi="宋体" w:eastAsia="仿宋_GB2312"/>
          <w:sz w:val="24"/>
        </w:rPr>
        <w:t>邮政编码：</w:t>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u w:val="single"/>
        </w:rPr>
        <w:t xml:space="preserve">          </w:t>
      </w:r>
      <w:r>
        <w:rPr>
          <w:rFonts w:hint="eastAsia" w:ascii="仿宋_GB2312" w:hAnsi="宋体" w:eastAsia="仿宋_GB2312"/>
          <w:sz w:val="24"/>
        </w:rPr>
        <w:t>电话：</w:t>
      </w:r>
      <w:r>
        <w:rPr>
          <w:rFonts w:hint="eastAsia" w:ascii="仿宋_GB2312" w:hAnsi="宋体" w:eastAsia="仿宋_GB2312"/>
          <w:sz w:val="24"/>
          <w:u w:val="single"/>
        </w:rPr>
        <w:tab/>
      </w:r>
      <w:r>
        <w:rPr>
          <w:rFonts w:hint="eastAsia" w:ascii="仿宋_GB2312" w:hAnsi="宋体" w:eastAsia="仿宋_GB2312"/>
          <w:sz w:val="24"/>
          <w:u w:val="single"/>
        </w:rPr>
        <w:t xml:space="preserve">         </w:t>
      </w:r>
      <w:r>
        <w:rPr>
          <w:rFonts w:hint="eastAsia" w:ascii="仿宋_GB2312" w:hAnsi="宋体" w:eastAsia="仿宋_GB2312"/>
          <w:sz w:val="24"/>
          <w:u w:val="single"/>
        </w:rPr>
        <w:tab/>
      </w:r>
      <w:r>
        <w:rPr>
          <w:rFonts w:hint="eastAsia" w:ascii="仿宋_GB2312" w:hAnsi="宋体" w:eastAsia="仿宋_GB2312"/>
          <w:sz w:val="24"/>
        </w:rPr>
        <w:t xml:space="preserve"> 传真：</w:t>
      </w:r>
      <w:r>
        <w:rPr>
          <w:rFonts w:hint="eastAsia" w:ascii="仿宋_GB2312" w:hAnsi="宋体" w:eastAsia="仿宋_GB2312"/>
          <w:sz w:val="24"/>
          <w:u w:val="single"/>
        </w:rPr>
        <w:t xml:space="preserve">               </w:t>
      </w:r>
    </w:p>
    <w:p>
      <w:pPr>
        <w:adjustRightInd w:val="0"/>
        <w:snapToGrid w:val="0"/>
        <w:spacing w:line="400" w:lineRule="exact"/>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rPr>
        <w:t>开户银行账号：</w:t>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u w:val="single"/>
        </w:rPr>
        <w:tab/>
      </w:r>
      <w:r>
        <w:rPr>
          <w:rFonts w:hint="eastAsia" w:ascii="仿宋_GB2312" w:hAnsi="宋体" w:eastAsia="仿宋_GB2312"/>
          <w:sz w:val="24"/>
          <w:u w:val="single"/>
        </w:rPr>
        <w:t xml:space="preserve"> </w:t>
      </w:r>
    </w:p>
    <w:p>
      <w:pPr>
        <w:adjustRightInd w:val="0"/>
        <w:snapToGrid w:val="0"/>
        <w:spacing w:line="400" w:lineRule="exact"/>
        <w:rPr>
          <w:rFonts w:ascii="仿宋_GB2312" w:eastAsia="仿宋_GB2312"/>
          <w:szCs w:val="21"/>
        </w:rPr>
      </w:pPr>
      <w:r>
        <w:rPr>
          <w:rFonts w:hint="eastAsia" w:ascii="仿宋_GB2312" w:hAnsi="宋体" w:eastAsia="仿宋_GB2312"/>
          <w:sz w:val="24"/>
        </w:rPr>
        <w:t>日期：</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bookmarkEnd w:id="581"/>
      <w:bookmarkEnd w:id="582"/>
      <w:bookmarkEnd w:id="583"/>
      <w:bookmarkEnd w:id="584"/>
    </w:p>
    <w:p>
      <w:pPr>
        <w:adjustRightInd w:val="0"/>
        <w:snapToGrid w:val="0"/>
        <w:spacing w:beforeLines="20" w:afterLines="20" w:line="540" w:lineRule="exact"/>
        <w:rPr>
          <w:rFonts w:ascii="仿宋_GB2312" w:eastAsia="仿宋_GB2312"/>
          <w:sz w:val="24"/>
        </w:rPr>
      </w:pPr>
    </w:p>
    <w:p>
      <w:pPr>
        <w:pStyle w:val="26"/>
        <w:jc w:val="center"/>
        <w:rPr>
          <w:rFonts w:ascii="仿宋_GB2312" w:eastAsia="仿宋_GB2312"/>
          <w:b/>
          <w:sz w:val="28"/>
          <w:szCs w:val="28"/>
        </w:rPr>
      </w:pPr>
      <w:bookmarkStart w:id="585" w:name="_Toc17197762"/>
    </w:p>
    <w:bookmarkEnd w:id="585"/>
    <w:p>
      <w:pPr>
        <w:pStyle w:val="26"/>
        <w:jc w:val="center"/>
        <w:rPr>
          <w:rFonts w:ascii="仿宋_GB2312" w:hAnsi="宋体" w:eastAsia="仿宋_GB2312"/>
          <w:b/>
          <w:sz w:val="28"/>
          <w:szCs w:val="28"/>
        </w:rPr>
        <w:sectPr>
          <w:pgSz w:w="11906" w:h="16838"/>
          <w:pgMar w:top="1440" w:right="1287" w:bottom="1440" w:left="1134" w:header="851" w:footer="992" w:gutter="0"/>
          <w:cols w:space="425" w:num="1"/>
          <w:docGrid w:type="lines" w:linePitch="312" w:charSpace="0"/>
        </w:sectPr>
      </w:pPr>
      <w:bookmarkStart w:id="586" w:name="_Toc171741994"/>
      <w:bookmarkStart w:id="587" w:name="_Toc171581371"/>
      <w:bookmarkStart w:id="588" w:name="_Toc171581551"/>
      <w:bookmarkStart w:id="589" w:name="_Toc17197767"/>
    </w:p>
    <w:p>
      <w:pPr>
        <w:pStyle w:val="26"/>
        <w:jc w:val="center"/>
        <w:rPr>
          <w:rFonts w:ascii="仿宋_GB2312" w:eastAsia="仿宋_GB2312"/>
          <w:b/>
          <w:sz w:val="28"/>
          <w:szCs w:val="28"/>
        </w:rPr>
      </w:pPr>
      <w:r>
        <w:rPr>
          <w:rFonts w:hint="eastAsia" w:ascii="仿宋_GB2312" w:hAnsi="宋体" w:eastAsia="仿宋_GB2312"/>
          <w:b/>
          <w:sz w:val="28"/>
          <w:szCs w:val="28"/>
        </w:rPr>
        <w:t>二、工程量清单报价书</w:t>
      </w:r>
      <w:bookmarkEnd w:id="586"/>
      <w:bookmarkEnd w:id="587"/>
      <w:bookmarkEnd w:id="588"/>
    </w:p>
    <w:p>
      <w:pPr>
        <w:adjustRightInd w:val="0"/>
        <w:snapToGrid w:val="0"/>
        <w:spacing w:beforeLines="20" w:afterLines="20" w:line="540" w:lineRule="exact"/>
        <w:rPr>
          <w:rFonts w:ascii="仿宋_GB2312" w:eastAsia="仿宋_GB2312"/>
          <w:sz w:val="28"/>
          <w:szCs w:val="28"/>
        </w:rPr>
      </w:pPr>
      <w:r>
        <w:rPr>
          <w:rFonts w:hint="eastAsia" w:ascii="仿宋_GB2312" w:hAnsi="宋体" w:eastAsia="仿宋_GB2312"/>
          <w:sz w:val="28"/>
          <w:szCs w:val="28"/>
        </w:rPr>
        <w:t>首页格式</w:t>
      </w:r>
    </w:p>
    <w:p>
      <w:pPr>
        <w:adjustRightInd w:val="0"/>
        <w:snapToGrid w:val="0"/>
        <w:spacing w:beforeLines="20" w:afterLines="20" w:line="540" w:lineRule="exact"/>
        <w:ind w:firstLine="2209" w:firstLineChars="500"/>
        <w:rPr>
          <w:rFonts w:ascii="仿宋_GB2312" w:eastAsia="仿宋_GB2312"/>
          <w:b/>
          <w:sz w:val="44"/>
          <w:szCs w:val="36"/>
        </w:rPr>
      </w:pPr>
      <w:r>
        <w:rPr>
          <w:rFonts w:hint="eastAsia" w:ascii="仿宋_GB2312" w:hAnsi="宋体" w:eastAsia="仿宋_GB2312"/>
          <w:b/>
          <w:sz w:val="44"/>
          <w:szCs w:val="36"/>
          <w:u w:val="single"/>
        </w:rPr>
        <w:t xml:space="preserve">                      </w:t>
      </w:r>
      <w:r>
        <w:rPr>
          <w:rFonts w:hint="eastAsia" w:ascii="仿宋_GB2312" w:hAnsi="宋体" w:eastAsia="仿宋_GB2312"/>
          <w:b/>
          <w:sz w:val="44"/>
          <w:szCs w:val="36"/>
        </w:rPr>
        <w:t>工程</w:t>
      </w:r>
    </w:p>
    <w:p>
      <w:pPr>
        <w:adjustRightInd w:val="0"/>
        <w:snapToGrid w:val="0"/>
        <w:spacing w:beforeLines="20" w:afterLines="20" w:line="540" w:lineRule="exact"/>
        <w:jc w:val="center"/>
        <w:rPr>
          <w:rFonts w:ascii="仿宋_GB2312" w:eastAsia="仿宋_GB2312"/>
          <w:b/>
          <w:sz w:val="36"/>
          <w:szCs w:val="36"/>
        </w:rPr>
      </w:pPr>
    </w:p>
    <w:p>
      <w:pPr>
        <w:adjustRightInd w:val="0"/>
        <w:snapToGrid w:val="0"/>
        <w:spacing w:beforeLines="20" w:afterLines="20" w:line="540" w:lineRule="exact"/>
        <w:jc w:val="center"/>
        <w:rPr>
          <w:rFonts w:ascii="仿宋_GB2312" w:eastAsia="仿宋_GB2312"/>
          <w:b/>
          <w:sz w:val="44"/>
          <w:szCs w:val="44"/>
        </w:rPr>
      </w:pPr>
      <w:r>
        <w:rPr>
          <w:rFonts w:hint="eastAsia" w:ascii="仿宋_GB2312" w:hAnsi="宋体" w:eastAsia="仿宋_GB2312"/>
          <w:b/>
          <w:sz w:val="44"/>
          <w:szCs w:val="44"/>
        </w:rPr>
        <w:t>工程量清单报价书</w:t>
      </w:r>
    </w:p>
    <w:p>
      <w:pPr>
        <w:adjustRightInd w:val="0"/>
        <w:snapToGrid w:val="0"/>
        <w:spacing w:beforeLines="20" w:afterLines="20" w:line="540" w:lineRule="exact"/>
        <w:ind w:firstLine="3000" w:firstLineChars="996"/>
        <w:rPr>
          <w:rFonts w:ascii="仿宋_GB2312" w:eastAsia="仿宋_GB2312"/>
          <w:b/>
          <w:sz w:val="30"/>
        </w:rPr>
      </w:pPr>
    </w:p>
    <w:p>
      <w:pPr>
        <w:adjustRightInd w:val="0"/>
        <w:snapToGrid w:val="0"/>
        <w:spacing w:beforeLines="20" w:afterLines="20" w:line="540" w:lineRule="exact"/>
        <w:ind w:firstLine="3000" w:firstLineChars="996"/>
        <w:rPr>
          <w:rFonts w:ascii="仿宋_GB2312" w:eastAsia="仿宋_GB2312"/>
          <w:b/>
          <w:sz w:val="30"/>
        </w:rPr>
      </w:pPr>
    </w:p>
    <w:p>
      <w:pPr>
        <w:adjustRightInd w:val="0"/>
        <w:snapToGrid w:val="0"/>
        <w:spacing w:beforeLines="20" w:afterLines="20" w:line="540" w:lineRule="exact"/>
        <w:ind w:firstLine="3000" w:firstLineChars="996"/>
        <w:rPr>
          <w:rFonts w:ascii="仿宋_GB2312" w:eastAsia="仿宋_GB2312"/>
          <w:b/>
          <w:sz w:val="30"/>
        </w:rPr>
      </w:pPr>
    </w:p>
    <w:p>
      <w:pPr>
        <w:adjustRightInd w:val="0"/>
        <w:snapToGrid w:val="0"/>
        <w:spacing w:beforeLines="20" w:afterLines="20" w:line="540" w:lineRule="exact"/>
        <w:ind w:firstLine="2732" w:firstLineChars="907"/>
        <w:rPr>
          <w:rFonts w:ascii="仿宋_GB2312" w:eastAsia="仿宋_GB2312"/>
          <w:b/>
          <w:sz w:val="30"/>
          <w:u w:val="single"/>
        </w:rPr>
      </w:pPr>
    </w:p>
    <w:p>
      <w:pPr>
        <w:adjustRightInd w:val="0"/>
        <w:snapToGrid w:val="0"/>
        <w:spacing w:beforeLines="20" w:afterLines="20" w:line="540" w:lineRule="exact"/>
        <w:ind w:firstLine="2732" w:firstLineChars="907"/>
        <w:rPr>
          <w:rFonts w:ascii="仿宋_GB2312" w:eastAsia="仿宋_GB2312"/>
          <w:b/>
          <w:sz w:val="30"/>
          <w:u w:val="single"/>
        </w:rPr>
      </w:pPr>
    </w:p>
    <w:p>
      <w:pPr>
        <w:adjustRightInd w:val="0"/>
        <w:snapToGrid w:val="0"/>
        <w:spacing w:beforeLines="20" w:afterLines="20" w:line="540" w:lineRule="exact"/>
        <w:ind w:firstLine="2732" w:firstLineChars="907"/>
        <w:rPr>
          <w:rFonts w:ascii="仿宋_GB2312" w:eastAsia="仿宋_GB2312"/>
          <w:b/>
          <w:sz w:val="30"/>
          <w:u w:val="single"/>
        </w:rPr>
      </w:pPr>
    </w:p>
    <w:p>
      <w:pPr>
        <w:adjustRightInd w:val="0"/>
        <w:snapToGrid w:val="0"/>
        <w:spacing w:beforeLines="20" w:afterLines="20" w:line="540" w:lineRule="exact"/>
        <w:ind w:firstLine="2732" w:firstLineChars="907"/>
        <w:rPr>
          <w:rFonts w:ascii="仿宋_GB2312" w:eastAsia="仿宋_GB2312"/>
          <w:b/>
          <w:sz w:val="30"/>
          <w:u w:val="single"/>
        </w:rPr>
      </w:pPr>
    </w:p>
    <w:p>
      <w:pPr>
        <w:adjustRightInd w:val="0"/>
        <w:snapToGrid w:val="0"/>
        <w:spacing w:beforeLines="20" w:afterLines="20" w:line="540" w:lineRule="exact"/>
        <w:ind w:firstLine="3000" w:firstLineChars="996"/>
        <w:rPr>
          <w:rFonts w:ascii="仿宋_GB2312" w:eastAsia="仿宋_GB2312"/>
          <w:b/>
          <w:sz w:val="30"/>
        </w:rPr>
      </w:pPr>
    </w:p>
    <w:p>
      <w:pPr>
        <w:adjustRightInd w:val="0"/>
        <w:snapToGrid w:val="0"/>
        <w:spacing w:beforeLines="20" w:afterLines="20" w:line="540" w:lineRule="exact"/>
        <w:ind w:firstLine="3000" w:firstLineChars="996"/>
        <w:rPr>
          <w:rFonts w:ascii="仿宋_GB2312" w:eastAsia="仿宋_GB2312"/>
          <w:b/>
          <w:sz w:val="30"/>
        </w:rPr>
      </w:pPr>
    </w:p>
    <w:p>
      <w:pPr>
        <w:adjustRightInd w:val="0"/>
        <w:snapToGrid w:val="0"/>
        <w:spacing w:beforeLines="20" w:afterLines="20" w:line="540" w:lineRule="exact"/>
        <w:ind w:firstLine="2988" w:firstLineChars="996"/>
        <w:rPr>
          <w:rFonts w:ascii="仿宋_GB2312" w:eastAsia="仿宋_GB2312"/>
          <w:sz w:val="30"/>
        </w:rPr>
      </w:pPr>
    </w:p>
    <w:p>
      <w:pPr>
        <w:adjustRightInd w:val="0"/>
        <w:snapToGrid w:val="0"/>
        <w:spacing w:beforeLines="20" w:afterLines="20" w:line="540" w:lineRule="exact"/>
        <w:ind w:left="420" w:leftChars="200" w:firstLine="420" w:firstLineChars="150"/>
        <w:rPr>
          <w:rFonts w:ascii="仿宋_GB2312" w:eastAsia="仿宋_GB2312"/>
          <w:sz w:val="28"/>
          <w:szCs w:val="28"/>
        </w:rPr>
      </w:pPr>
    </w:p>
    <w:p>
      <w:pPr>
        <w:adjustRightInd w:val="0"/>
        <w:snapToGrid w:val="0"/>
        <w:spacing w:beforeLines="20" w:afterLines="20" w:line="540" w:lineRule="exact"/>
        <w:ind w:left="420" w:leftChars="200" w:firstLine="420" w:firstLineChars="150"/>
        <w:rPr>
          <w:rFonts w:ascii="仿宋_GB2312" w:hAnsi="宋体" w:eastAsia="仿宋_GB2312"/>
          <w:sz w:val="28"/>
          <w:szCs w:val="28"/>
        </w:rPr>
      </w:pPr>
      <w:r>
        <w:rPr>
          <w:rFonts w:hint="eastAsia" w:ascii="仿宋_GB2312" w:hAnsi="宋体" w:eastAsia="仿宋_GB2312"/>
          <w:sz w:val="28"/>
          <w:szCs w:val="28"/>
        </w:rPr>
        <w:t>投标人：</w:t>
      </w:r>
      <w:r>
        <w:rPr>
          <w:rFonts w:hint="eastAsia" w:ascii="仿宋_GB2312" w:hAnsi="宋体" w:eastAsia="仿宋_GB2312"/>
          <w:sz w:val="28"/>
          <w:szCs w:val="28"/>
          <w:u w:val="single"/>
        </w:rPr>
        <w:t xml:space="preserve">                        </w:t>
      </w:r>
      <w:r>
        <w:rPr>
          <w:rFonts w:hint="eastAsia" w:ascii="仿宋_GB2312" w:hAnsi="宋体" w:eastAsia="仿宋_GB2312"/>
          <w:sz w:val="28"/>
          <w:szCs w:val="28"/>
        </w:rPr>
        <w:t>（盖单位章）</w:t>
      </w:r>
    </w:p>
    <w:p>
      <w:pPr>
        <w:adjustRightInd w:val="0"/>
        <w:snapToGrid w:val="0"/>
        <w:spacing w:beforeLines="20" w:afterLines="20" w:line="540" w:lineRule="exact"/>
        <w:ind w:left="420" w:leftChars="200" w:firstLine="420" w:firstLineChars="150"/>
        <w:rPr>
          <w:rFonts w:ascii="仿宋_GB2312" w:eastAsia="仿宋_GB2312"/>
          <w:sz w:val="28"/>
          <w:szCs w:val="28"/>
        </w:rPr>
      </w:pPr>
      <w:r>
        <w:rPr>
          <w:rFonts w:hint="eastAsia" w:ascii="仿宋_GB2312" w:hAnsi="宋体" w:eastAsia="仿宋_GB2312"/>
          <w:sz w:val="28"/>
          <w:szCs w:val="28"/>
        </w:rPr>
        <w:t>法定代表人或企业负责人：</w:t>
      </w:r>
      <w:r>
        <w:rPr>
          <w:rFonts w:hint="eastAsia" w:ascii="仿宋_GB2312" w:hAnsi="宋体" w:eastAsia="仿宋_GB2312"/>
          <w:sz w:val="28"/>
          <w:szCs w:val="28"/>
          <w:u w:val="single"/>
        </w:rPr>
        <w:t xml:space="preserve">        </w:t>
      </w:r>
      <w:r>
        <w:rPr>
          <w:rFonts w:hint="eastAsia" w:ascii="仿宋_GB2312" w:hAnsi="宋体" w:eastAsia="仿宋_GB2312"/>
          <w:sz w:val="28"/>
          <w:szCs w:val="28"/>
        </w:rPr>
        <w:t>（签字或个人印鉴章）</w:t>
      </w:r>
    </w:p>
    <w:p>
      <w:pPr>
        <w:adjustRightInd w:val="0"/>
        <w:snapToGrid w:val="0"/>
        <w:spacing w:beforeLines="20" w:afterLines="20" w:line="540" w:lineRule="exact"/>
        <w:ind w:left="420" w:leftChars="200" w:firstLine="420" w:firstLineChars="150"/>
        <w:rPr>
          <w:rFonts w:ascii="仿宋_GB2312" w:eastAsia="仿宋_GB2312"/>
          <w:sz w:val="28"/>
          <w:szCs w:val="28"/>
          <w:u w:val="single"/>
        </w:rPr>
      </w:pPr>
      <w:r>
        <w:rPr>
          <w:rFonts w:hint="eastAsia" w:ascii="仿宋_GB2312" w:hAnsi="宋体" w:eastAsia="仿宋_GB2312"/>
          <w:sz w:val="28"/>
          <w:szCs w:val="28"/>
        </w:rPr>
        <w:t>编制人：</w:t>
      </w:r>
      <w:r>
        <w:rPr>
          <w:rFonts w:hint="eastAsia" w:ascii="仿宋_GB2312" w:hAnsi="宋体" w:eastAsia="仿宋_GB2312"/>
          <w:sz w:val="28"/>
          <w:szCs w:val="28"/>
          <w:u w:val="single"/>
        </w:rPr>
        <w:t xml:space="preserve">                 </w:t>
      </w:r>
      <w:r>
        <w:rPr>
          <w:rFonts w:hint="eastAsia" w:ascii="仿宋_GB2312" w:eastAsia="仿宋_GB2312"/>
          <w:sz w:val="28"/>
          <w:szCs w:val="28"/>
        </w:rPr>
        <w:t>(</w:t>
      </w:r>
      <w:r>
        <w:rPr>
          <w:rFonts w:hint="eastAsia" w:ascii="仿宋_GB2312" w:hAnsi="宋体" w:eastAsia="仿宋_GB2312"/>
          <w:sz w:val="28"/>
          <w:szCs w:val="28"/>
        </w:rPr>
        <w:t>盖造价专业人员执业专用章</w:t>
      </w:r>
      <w:r>
        <w:rPr>
          <w:rFonts w:hint="eastAsia" w:ascii="仿宋_GB2312" w:eastAsia="仿宋_GB2312"/>
          <w:sz w:val="28"/>
          <w:szCs w:val="28"/>
        </w:rPr>
        <w:t>)</w:t>
      </w:r>
    </w:p>
    <w:p>
      <w:pPr>
        <w:adjustRightInd w:val="0"/>
        <w:snapToGrid w:val="0"/>
        <w:spacing w:beforeLines="20" w:afterLines="20" w:line="540" w:lineRule="exact"/>
        <w:ind w:left="420" w:leftChars="200" w:firstLine="420" w:firstLineChars="150"/>
        <w:rPr>
          <w:rFonts w:ascii="仿宋_GB2312" w:eastAsia="仿宋_GB2312"/>
          <w:sz w:val="28"/>
          <w:szCs w:val="28"/>
          <w:u w:val="single"/>
        </w:rPr>
      </w:pPr>
      <w:r>
        <w:rPr>
          <w:rFonts w:hint="eastAsia" w:ascii="仿宋_GB2312" w:hAnsi="宋体" w:eastAsia="仿宋_GB2312"/>
          <w:sz w:val="28"/>
          <w:szCs w:val="28"/>
        </w:rPr>
        <w:t>审核人：</w:t>
      </w:r>
      <w:r>
        <w:rPr>
          <w:rFonts w:hint="eastAsia" w:ascii="仿宋_GB2312" w:hAnsi="宋体" w:eastAsia="仿宋_GB2312"/>
          <w:sz w:val="28"/>
          <w:szCs w:val="28"/>
          <w:u w:val="single"/>
        </w:rPr>
        <w:t xml:space="preserve">                 </w:t>
      </w:r>
      <w:r>
        <w:rPr>
          <w:rFonts w:hint="eastAsia" w:ascii="仿宋_GB2312" w:eastAsia="仿宋_GB2312"/>
          <w:sz w:val="28"/>
          <w:szCs w:val="28"/>
        </w:rPr>
        <w:t>(</w:t>
      </w:r>
      <w:r>
        <w:rPr>
          <w:rFonts w:hint="eastAsia" w:ascii="仿宋_GB2312" w:hAnsi="宋体" w:eastAsia="仿宋_GB2312"/>
          <w:sz w:val="28"/>
          <w:szCs w:val="28"/>
        </w:rPr>
        <w:t>盖造价专业人员执业专用章</w:t>
      </w:r>
      <w:r>
        <w:rPr>
          <w:rFonts w:hint="eastAsia" w:ascii="仿宋_GB2312" w:eastAsia="仿宋_GB2312"/>
          <w:sz w:val="28"/>
          <w:szCs w:val="28"/>
        </w:rPr>
        <w:t>)</w:t>
      </w:r>
    </w:p>
    <w:p>
      <w:pPr>
        <w:adjustRightInd w:val="0"/>
        <w:snapToGrid w:val="0"/>
        <w:spacing w:beforeLines="20" w:afterLines="20" w:line="540" w:lineRule="exact"/>
        <w:ind w:left="420" w:leftChars="200" w:firstLine="420" w:firstLineChars="150"/>
        <w:rPr>
          <w:rFonts w:ascii="仿宋_GB2312" w:eastAsia="仿宋_GB2312"/>
          <w:sz w:val="28"/>
          <w:szCs w:val="28"/>
          <w:u w:val="single"/>
        </w:rPr>
      </w:pPr>
      <w:r>
        <w:rPr>
          <w:rFonts w:hint="eastAsia" w:ascii="仿宋_GB2312" w:hAnsi="宋体" w:eastAsia="仿宋_GB2312"/>
          <w:sz w:val="28"/>
          <w:szCs w:val="28"/>
        </w:rPr>
        <w:t>编制日期：</w:t>
      </w:r>
      <w:r>
        <w:rPr>
          <w:rFonts w:hint="eastAsia" w:ascii="仿宋_GB2312" w:hAnsi="宋体" w:eastAsia="仿宋_GB2312"/>
          <w:sz w:val="28"/>
          <w:szCs w:val="28"/>
          <w:u w:val="single"/>
        </w:rPr>
        <w:t xml:space="preserve">                        </w:t>
      </w:r>
    </w:p>
    <w:p>
      <w:pPr>
        <w:adjustRightInd w:val="0"/>
        <w:snapToGrid w:val="0"/>
        <w:spacing w:beforeLines="20" w:afterLines="20" w:line="540" w:lineRule="exact"/>
        <w:ind w:left="420" w:leftChars="200" w:firstLine="657" w:firstLineChars="218"/>
        <w:rPr>
          <w:rFonts w:ascii="仿宋_GB2312" w:eastAsia="仿宋_GB2312"/>
          <w:b/>
          <w:sz w:val="30"/>
        </w:rPr>
      </w:pPr>
    </w:p>
    <w:p>
      <w:pPr>
        <w:pStyle w:val="4"/>
        <w:rPr>
          <w:rFonts w:ascii="仿宋_GB2312" w:eastAsia="仿宋_GB2312"/>
        </w:rPr>
      </w:pPr>
    </w:p>
    <w:p>
      <w:pPr>
        <w:pStyle w:val="4"/>
        <w:adjustRightInd w:val="0"/>
        <w:snapToGrid w:val="0"/>
        <w:spacing w:beforeLines="20" w:afterLines="20" w:line="540" w:lineRule="exact"/>
        <w:rPr>
          <w:rFonts w:ascii="仿宋_GB2312" w:eastAsia="仿宋_GB2312"/>
        </w:rPr>
      </w:pPr>
    </w:p>
    <w:p>
      <w:pPr>
        <w:pStyle w:val="4"/>
        <w:adjustRightInd w:val="0"/>
        <w:snapToGrid w:val="0"/>
        <w:spacing w:beforeLines="20" w:afterLines="20" w:line="540" w:lineRule="exact"/>
        <w:rPr>
          <w:rFonts w:ascii="仿宋_GB2312" w:eastAsia="仿宋_GB2312"/>
        </w:rPr>
      </w:pPr>
    </w:p>
    <w:p>
      <w:pPr>
        <w:pStyle w:val="4"/>
        <w:adjustRightInd w:val="0"/>
        <w:snapToGrid w:val="0"/>
        <w:spacing w:beforeLines="20" w:afterLines="20" w:line="540" w:lineRule="exact"/>
        <w:rPr>
          <w:rFonts w:ascii="仿宋_GB2312" w:eastAsia="仿宋_GB2312"/>
        </w:rPr>
      </w:pPr>
    </w:p>
    <w:p>
      <w:pPr>
        <w:adjustRightInd w:val="0"/>
        <w:snapToGrid w:val="0"/>
        <w:spacing w:beforeLines="20" w:afterLines="20" w:line="540" w:lineRule="exact"/>
        <w:jc w:val="center"/>
        <w:rPr>
          <w:rFonts w:ascii="仿宋_GB2312" w:eastAsia="仿宋_GB2312"/>
          <w:b/>
          <w:sz w:val="44"/>
          <w:szCs w:val="44"/>
        </w:rPr>
      </w:pPr>
      <w:r>
        <w:rPr>
          <w:rFonts w:hint="eastAsia" w:ascii="仿宋_GB2312" w:hAnsi="宋体" w:eastAsia="仿宋_GB2312"/>
          <w:b/>
          <w:sz w:val="44"/>
          <w:szCs w:val="44"/>
        </w:rPr>
        <w:t>投标总报价</w:t>
      </w:r>
    </w:p>
    <w:p>
      <w:pPr>
        <w:adjustRightInd w:val="0"/>
        <w:snapToGrid w:val="0"/>
        <w:spacing w:beforeLines="20" w:afterLines="20" w:line="540" w:lineRule="exact"/>
        <w:ind w:firstLine="3000" w:firstLineChars="996"/>
        <w:rPr>
          <w:rFonts w:ascii="仿宋_GB2312" w:eastAsia="仿宋_GB2312"/>
          <w:b/>
          <w:sz w:val="30"/>
        </w:rPr>
      </w:pPr>
    </w:p>
    <w:p>
      <w:pPr>
        <w:adjustRightInd w:val="0"/>
        <w:snapToGrid w:val="0"/>
        <w:spacing w:beforeLines="20" w:afterLines="20" w:line="540" w:lineRule="exact"/>
        <w:ind w:firstLine="3000" w:firstLineChars="996"/>
        <w:rPr>
          <w:rFonts w:ascii="仿宋_GB2312" w:eastAsia="仿宋_GB2312"/>
          <w:b/>
          <w:sz w:val="30"/>
        </w:rPr>
      </w:pPr>
    </w:p>
    <w:p>
      <w:pPr>
        <w:adjustRightInd w:val="0"/>
        <w:snapToGrid w:val="0"/>
        <w:spacing w:beforeLines="20" w:afterLines="20" w:line="540" w:lineRule="exact"/>
        <w:ind w:firstLine="900" w:firstLineChars="300"/>
        <w:rPr>
          <w:rFonts w:ascii="仿宋_GB2312" w:eastAsia="仿宋_GB2312"/>
          <w:bCs/>
          <w:sz w:val="30"/>
          <w:u w:val="single"/>
        </w:rPr>
      </w:pPr>
      <w:r>
        <w:rPr>
          <w:rFonts w:hint="eastAsia" w:ascii="仿宋_GB2312" w:hAnsi="宋体" w:eastAsia="仿宋_GB2312"/>
          <w:bCs/>
          <w:sz w:val="30"/>
        </w:rPr>
        <w:t>建设单位</w:t>
      </w:r>
      <w:r>
        <w:rPr>
          <w:rFonts w:hint="eastAsia" w:ascii="仿宋_GB2312" w:eastAsia="仿宋_GB2312"/>
          <w:bCs/>
          <w:sz w:val="30"/>
        </w:rPr>
        <w:t>:</w:t>
      </w:r>
      <w:r>
        <w:rPr>
          <w:rFonts w:hint="eastAsia" w:ascii="仿宋_GB2312" w:eastAsia="仿宋_GB2312"/>
          <w:bCs/>
          <w:sz w:val="30"/>
          <w:u w:val="single"/>
        </w:rPr>
        <w:t xml:space="preserve">                          </w:t>
      </w:r>
    </w:p>
    <w:p>
      <w:pPr>
        <w:adjustRightInd w:val="0"/>
        <w:snapToGrid w:val="0"/>
        <w:spacing w:beforeLines="20" w:afterLines="20" w:line="540" w:lineRule="exact"/>
        <w:ind w:firstLine="861" w:firstLineChars="287"/>
        <w:rPr>
          <w:rFonts w:ascii="仿宋_GB2312" w:eastAsia="仿宋_GB2312"/>
          <w:bCs/>
          <w:sz w:val="30"/>
          <w:u w:val="single"/>
        </w:rPr>
      </w:pPr>
      <w:r>
        <w:rPr>
          <w:rFonts w:hint="eastAsia" w:ascii="仿宋_GB2312" w:hAnsi="宋体" w:eastAsia="仿宋_GB2312"/>
          <w:bCs/>
          <w:sz w:val="30"/>
        </w:rPr>
        <w:t>工程名称：</w:t>
      </w:r>
      <w:r>
        <w:rPr>
          <w:rFonts w:hint="eastAsia" w:ascii="仿宋_GB2312" w:hAnsi="宋体" w:eastAsia="仿宋_GB2312"/>
          <w:bCs/>
          <w:sz w:val="30"/>
          <w:u w:val="single"/>
        </w:rPr>
        <w:t xml:space="preserve">                         </w:t>
      </w:r>
    </w:p>
    <w:p>
      <w:pPr>
        <w:adjustRightInd w:val="0"/>
        <w:snapToGrid w:val="0"/>
        <w:spacing w:beforeLines="20" w:afterLines="20" w:line="540" w:lineRule="exact"/>
        <w:ind w:firstLine="862" w:firstLineChars="308"/>
        <w:rPr>
          <w:rFonts w:ascii="仿宋_GB2312" w:eastAsia="仿宋_GB2312"/>
          <w:bCs/>
          <w:sz w:val="30"/>
          <w:u w:val="single"/>
        </w:rPr>
      </w:pPr>
      <w:r>
        <w:rPr>
          <w:rFonts w:hint="eastAsia" w:ascii="仿宋_GB2312" w:hAnsi="宋体" w:eastAsia="仿宋_GB2312"/>
          <w:bCs/>
          <w:sz w:val="28"/>
          <w:szCs w:val="28"/>
        </w:rPr>
        <w:t>投标总报价（大写）：</w:t>
      </w:r>
      <w:r>
        <w:rPr>
          <w:rFonts w:hint="eastAsia" w:ascii="仿宋_GB2312" w:hAnsi="宋体" w:eastAsia="仿宋_GB2312"/>
          <w:bCs/>
          <w:sz w:val="28"/>
          <w:szCs w:val="28"/>
          <w:u w:val="single"/>
        </w:rPr>
        <w:t xml:space="preserve">                  </w:t>
      </w:r>
    </w:p>
    <w:p>
      <w:pPr>
        <w:adjustRightInd w:val="0"/>
        <w:snapToGrid w:val="0"/>
        <w:spacing w:beforeLines="20" w:afterLines="20" w:line="540" w:lineRule="exact"/>
        <w:ind w:firstLine="2240" w:firstLineChars="800"/>
        <w:rPr>
          <w:rFonts w:ascii="仿宋_GB2312" w:eastAsia="仿宋_GB2312"/>
          <w:b/>
          <w:sz w:val="30"/>
          <w:u w:val="single"/>
        </w:rPr>
      </w:pPr>
      <w:r>
        <w:rPr>
          <w:rFonts w:hint="eastAsia" w:ascii="仿宋_GB2312" w:hAnsi="宋体" w:eastAsia="仿宋_GB2312"/>
          <w:bCs/>
          <w:sz w:val="28"/>
          <w:szCs w:val="28"/>
        </w:rPr>
        <w:t>（小写）：</w:t>
      </w:r>
      <w:r>
        <w:rPr>
          <w:rFonts w:hint="eastAsia" w:ascii="仿宋_GB2312" w:hAnsi="宋体" w:eastAsia="仿宋_GB2312"/>
          <w:bCs/>
          <w:sz w:val="28"/>
          <w:szCs w:val="28"/>
          <w:u w:val="single"/>
        </w:rPr>
        <w:t xml:space="preserve">                  </w:t>
      </w:r>
    </w:p>
    <w:p>
      <w:pPr>
        <w:adjustRightInd w:val="0"/>
        <w:snapToGrid w:val="0"/>
        <w:spacing w:beforeLines="20" w:afterLines="20" w:line="540" w:lineRule="exact"/>
        <w:ind w:firstLine="3000" w:firstLineChars="996"/>
        <w:rPr>
          <w:rFonts w:ascii="仿宋_GB2312" w:eastAsia="仿宋_GB2312"/>
          <w:b/>
          <w:sz w:val="30"/>
        </w:rPr>
      </w:pPr>
    </w:p>
    <w:p>
      <w:pPr>
        <w:adjustRightInd w:val="0"/>
        <w:snapToGrid w:val="0"/>
        <w:spacing w:beforeLines="20" w:afterLines="20" w:line="540" w:lineRule="exact"/>
        <w:ind w:firstLine="3000" w:firstLineChars="996"/>
        <w:rPr>
          <w:rFonts w:ascii="仿宋_GB2312" w:eastAsia="仿宋_GB2312"/>
          <w:b/>
          <w:sz w:val="30"/>
        </w:rPr>
      </w:pPr>
    </w:p>
    <w:p>
      <w:pPr>
        <w:adjustRightInd w:val="0"/>
        <w:snapToGrid w:val="0"/>
        <w:spacing w:beforeLines="20" w:afterLines="20" w:line="540" w:lineRule="exact"/>
        <w:ind w:firstLine="2988" w:firstLineChars="996"/>
        <w:rPr>
          <w:rFonts w:ascii="仿宋_GB2312" w:eastAsia="仿宋_GB2312"/>
          <w:sz w:val="30"/>
        </w:rPr>
      </w:pPr>
    </w:p>
    <w:p>
      <w:pPr>
        <w:adjustRightInd w:val="0"/>
        <w:snapToGrid w:val="0"/>
        <w:spacing w:beforeLines="20" w:afterLines="20" w:line="540" w:lineRule="exact"/>
        <w:ind w:left="420" w:leftChars="200" w:firstLine="420" w:firstLineChars="150"/>
        <w:rPr>
          <w:rFonts w:ascii="仿宋_GB2312" w:eastAsia="仿宋_GB2312"/>
          <w:sz w:val="28"/>
          <w:szCs w:val="28"/>
        </w:rPr>
      </w:pPr>
    </w:p>
    <w:p>
      <w:pPr>
        <w:adjustRightInd w:val="0"/>
        <w:snapToGrid w:val="0"/>
        <w:spacing w:beforeLines="20" w:afterLines="20" w:line="540" w:lineRule="exact"/>
        <w:ind w:left="420" w:leftChars="200" w:firstLine="420" w:firstLineChars="150"/>
        <w:rPr>
          <w:rFonts w:ascii="仿宋_GB2312" w:eastAsia="仿宋_GB2312"/>
          <w:sz w:val="28"/>
          <w:szCs w:val="28"/>
        </w:rPr>
      </w:pPr>
      <w:r>
        <w:rPr>
          <w:rFonts w:hint="eastAsia" w:ascii="仿宋_GB2312" w:hAnsi="宋体" w:eastAsia="仿宋_GB2312"/>
          <w:sz w:val="28"/>
          <w:szCs w:val="28"/>
        </w:rPr>
        <w:t>投标人：</w:t>
      </w:r>
      <w:r>
        <w:rPr>
          <w:rFonts w:hint="eastAsia" w:ascii="仿宋_GB2312" w:hAnsi="宋体" w:eastAsia="仿宋_GB2312"/>
          <w:sz w:val="28"/>
          <w:szCs w:val="28"/>
          <w:u w:val="single"/>
        </w:rPr>
        <w:t xml:space="preserve">                                </w:t>
      </w:r>
      <w:r>
        <w:rPr>
          <w:rFonts w:hint="eastAsia" w:ascii="仿宋_GB2312" w:hAnsi="宋体" w:eastAsia="仿宋_GB2312"/>
          <w:sz w:val="28"/>
          <w:szCs w:val="28"/>
        </w:rPr>
        <w:t>（盖单位章）</w:t>
      </w:r>
    </w:p>
    <w:p>
      <w:pPr>
        <w:adjustRightInd w:val="0"/>
        <w:snapToGrid w:val="0"/>
        <w:spacing w:beforeLines="20" w:afterLines="20" w:line="540" w:lineRule="exact"/>
        <w:ind w:left="420" w:leftChars="200" w:firstLine="420" w:firstLineChars="150"/>
        <w:rPr>
          <w:rFonts w:ascii="仿宋_GB2312" w:eastAsia="仿宋_GB2312"/>
          <w:sz w:val="28"/>
          <w:szCs w:val="28"/>
          <w:u w:val="single"/>
        </w:rPr>
      </w:pPr>
      <w:r>
        <w:rPr>
          <w:rFonts w:hint="eastAsia" w:ascii="仿宋_GB2312" w:hAnsi="宋体" w:eastAsia="仿宋_GB2312"/>
          <w:sz w:val="28"/>
          <w:szCs w:val="28"/>
        </w:rPr>
        <w:t>法定代表人或企业负责人：</w:t>
      </w:r>
      <w:r>
        <w:rPr>
          <w:rFonts w:hint="eastAsia" w:ascii="仿宋_GB2312" w:hAnsi="宋体" w:eastAsia="仿宋_GB2312"/>
          <w:sz w:val="28"/>
          <w:szCs w:val="28"/>
          <w:u w:val="single"/>
        </w:rPr>
        <w:t xml:space="preserve">                 </w:t>
      </w:r>
      <w:r>
        <w:rPr>
          <w:rFonts w:hint="eastAsia" w:ascii="仿宋_GB2312" w:eastAsia="仿宋_GB2312"/>
          <w:sz w:val="28"/>
          <w:szCs w:val="28"/>
        </w:rPr>
        <w:t>(</w:t>
      </w:r>
      <w:r>
        <w:rPr>
          <w:rFonts w:hint="eastAsia" w:ascii="仿宋_GB2312" w:hAnsi="宋体" w:eastAsia="仿宋_GB2312"/>
          <w:sz w:val="28"/>
          <w:szCs w:val="28"/>
        </w:rPr>
        <w:t>签字或个人印鉴章</w:t>
      </w:r>
      <w:r>
        <w:rPr>
          <w:rFonts w:hint="eastAsia" w:ascii="仿宋_GB2312" w:eastAsia="仿宋_GB2312"/>
          <w:sz w:val="28"/>
          <w:szCs w:val="28"/>
        </w:rPr>
        <w:t>)</w:t>
      </w:r>
    </w:p>
    <w:p>
      <w:pPr>
        <w:adjustRightInd w:val="0"/>
        <w:snapToGrid w:val="0"/>
        <w:spacing w:beforeLines="20" w:afterLines="20" w:line="540" w:lineRule="exact"/>
        <w:ind w:left="420" w:leftChars="200" w:firstLine="420" w:firstLineChars="150"/>
        <w:rPr>
          <w:rFonts w:ascii="仿宋_GB2312" w:eastAsia="仿宋_GB2312"/>
          <w:sz w:val="28"/>
          <w:szCs w:val="28"/>
          <w:u w:val="single"/>
        </w:rPr>
      </w:pPr>
      <w:r>
        <w:rPr>
          <w:rFonts w:hint="eastAsia" w:ascii="仿宋_GB2312" w:hAnsi="宋体" w:eastAsia="仿宋_GB2312"/>
          <w:sz w:val="28"/>
          <w:szCs w:val="28"/>
        </w:rPr>
        <w:t>编制日期：</w:t>
      </w:r>
      <w:r>
        <w:rPr>
          <w:rFonts w:hint="eastAsia" w:ascii="仿宋_GB2312" w:hAnsi="宋体" w:eastAsia="仿宋_GB2312"/>
          <w:sz w:val="28"/>
          <w:szCs w:val="28"/>
          <w:u w:val="single"/>
        </w:rPr>
        <w:t xml:space="preserve">                               </w:t>
      </w:r>
    </w:p>
    <w:p>
      <w:pPr>
        <w:adjustRightInd w:val="0"/>
        <w:snapToGrid w:val="0"/>
        <w:spacing w:beforeLines="20" w:afterLines="20" w:line="540" w:lineRule="exact"/>
        <w:ind w:left="420" w:leftChars="200" w:firstLine="657" w:firstLineChars="218"/>
        <w:rPr>
          <w:rFonts w:ascii="仿宋_GB2312" w:eastAsia="仿宋_GB2312"/>
          <w:b/>
          <w:sz w:val="30"/>
        </w:rPr>
      </w:pPr>
    </w:p>
    <w:p>
      <w:pPr>
        <w:pStyle w:val="4"/>
        <w:rPr>
          <w:rFonts w:ascii="仿宋_GB2312" w:eastAsia="仿宋_GB2312"/>
        </w:rPr>
      </w:pPr>
    </w:p>
    <w:p>
      <w:pPr>
        <w:pStyle w:val="4"/>
        <w:adjustRightInd w:val="0"/>
        <w:snapToGrid w:val="0"/>
        <w:spacing w:beforeLines="20" w:afterLines="20" w:line="540" w:lineRule="exact"/>
        <w:rPr>
          <w:rFonts w:ascii="仿宋_GB2312" w:eastAsia="仿宋_GB2312"/>
        </w:rPr>
      </w:pPr>
    </w:p>
    <w:p>
      <w:pPr>
        <w:pStyle w:val="4"/>
        <w:adjustRightInd w:val="0"/>
        <w:snapToGrid w:val="0"/>
        <w:spacing w:beforeLines="20" w:afterLines="20" w:line="540" w:lineRule="exact"/>
        <w:rPr>
          <w:rFonts w:ascii="仿宋_GB2312" w:eastAsia="仿宋_GB2312"/>
        </w:rPr>
      </w:pPr>
    </w:p>
    <w:p>
      <w:pPr>
        <w:pStyle w:val="4"/>
        <w:adjustRightInd w:val="0"/>
        <w:snapToGrid w:val="0"/>
        <w:spacing w:beforeLines="20" w:afterLines="20" w:line="540" w:lineRule="exact"/>
        <w:rPr>
          <w:rFonts w:ascii="仿宋_GB2312" w:eastAsia="仿宋_GB2312"/>
        </w:rPr>
      </w:pPr>
    </w:p>
    <w:p>
      <w:pPr>
        <w:adjustRightInd w:val="0"/>
        <w:snapToGrid w:val="0"/>
        <w:spacing w:beforeLines="20" w:afterLines="20" w:line="540" w:lineRule="exact"/>
        <w:ind w:firstLine="2988" w:firstLineChars="996"/>
        <w:rPr>
          <w:rFonts w:ascii="仿宋_GB2312" w:eastAsia="仿宋_GB2312"/>
          <w:sz w:val="30"/>
        </w:rPr>
      </w:pPr>
    </w:p>
    <w:p>
      <w:pPr>
        <w:jc w:val="center"/>
        <w:rPr>
          <w:rFonts w:ascii="仿宋_GB2312" w:hAnsi="宋体" w:eastAsia="仿宋_GB2312"/>
          <w:b/>
          <w:color w:val="00B050"/>
          <w:sz w:val="44"/>
          <w:szCs w:val="44"/>
        </w:rPr>
      </w:pPr>
      <w:r>
        <w:rPr>
          <w:rFonts w:hint="eastAsia" w:ascii="仿宋_GB2312" w:hAnsi="宋体" w:eastAsia="仿宋_GB2312"/>
          <w:b/>
          <w:color w:val="00B050"/>
          <w:sz w:val="44"/>
          <w:szCs w:val="44"/>
        </w:rPr>
        <w:t>工程量清单、控制价另附</w:t>
      </w:r>
    </w:p>
    <w:p>
      <w:pPr>
        <w:jc w:val="center"/>
        <w:rPr>
          <w:rFonts w:ascii="仿宋_GB2312" w:eastAsia="仿宋_GB2312"/>
          <w:b/>
          <w:color w:val="00B050"/>
          <w:sz w:val="44"/>
          <w:szCs w:val="44"/>
        </w:rPr>
      </w:pPr>
      <w:r>
        <w:rPr>
          <w:rFonts w:hint="eastAsia" w:ascii="仿宋_GB2312" w:hAnsi="宋体" w:eastAsia="仿宋_GB2312"/>
          <w:b/>
          <w:color w:val="00B050"/>
          <w:sz w:val="44"/>
          <w:szCs w:val="44"/>
        </w:rPr>
        <w:t>（</w:t>
      </w:r>
      <w:r>
        <w:rPr>
          <w:rFonts w:hint="eastAsia" w:ascii="仿宋_GB2312" w:hAnsi="宋体" w:eastAsia="仿宋_GB2312"/>
          <w:b/>
          <w:color w:val="00B050"/>
          <w:sz w:val="32"/>
          <w:szCs w:val="32"/>
        </w:rPr>
        <w:t>具体格式参照交通部相关定额及规范规定</w:t>
      </w:r>
      <w:r>
        <w:rPr>
          <w:rFonts w:hint="eastAsia" w:ascii="仿宋_GB2312" w:eastAsia="仿宋_GB2312"/>
          <w:b/>
          <w:color w:val="00B050"/>
          <w:sz w:val="44"/>
          <w:szCs w:val="44"/>
        </w:rPr>
        <w:t>）</w:t>
      </w:r>
    </w:p>
    <w:p>
      <w:pPr>
        <w:adjustRightInd w:val="0"/>
        <w:snapToGrid w:val="0"/>
        <w:spacing w:beforeLines="20" w:afterLines="20" w:line="540" w:lineRule="exact"/>
        <w:rPr>
          <w:rFonts w:ascii="仿宋_GB2312" w:eastAsia="仿宋_GB2312"/>
          <w:color w:val="00B050"/>
          <w:sz w:val="30"/>
        </w:rPr>
      </w:pPr>
    </w:p>
    <w:p>
      <w:pPr>
        <w:adjustRightInd w:val="0"/>
        <w:snapToGrid w:val="0"/>
        <w:spacing w:beforeLines="20" w:afterLines="20" w:line="540" w:lineRule="exact"/>
        <w:jc w:val="center"/>
        <w:rPr>
          <w:rFonts w:ascii="仿宋_GB2312" w:eastAsia="仿宋_GB2312"/>
          <w:color w:val="00B050"/>
          <w:sz w:val="30"/>
        </w:rPr>
      </w:pPr>
      <w:r>
        <w:rPr>
          <w:rFonts w:hint="eastAsia" w:ascii="仿宋_GB2312" w:eastAsia="仿宋_GB2312"/>
          <w:color w:val="00B050"/>
          <w:sz w:val="30"/>
        </w:rPr>
        <w:t>(</w:t>
      </w:r>
      <w:r>
        <w:rPr>
          <w:rFonts w:hint="eastAsia" w:ascii="仿宋_GB2312" w:hAnsi="宋体" w:eastAsia="仿宋_GB2312"/>
          <w:color w:val="00B050"/>
          <w:sz w:val="30"/>
        </w:rPr>
        <w:t>一</w:t>
      </w:r>
      <w:r>
        <w:rPr>
          <w:rFonts w:hint="eastAsia" w:ascii="仿宋_GB2312" w:eastAsia="仿宋_GB2312"/>
          <w:color w:val="00B050"/>
          <w:sz w:val="30"/>
        </w:rPr>
        <w:t xml:space="preserve">) </w:t>
      </w:r>
      <w:r>
        <w:rPr>
          <w:rFonts w:hint="eastAsia" w:ascii="仿宋_GB2312" w:hAnsi="宋体" w:eastAsia="仿宋_GB2312"/>
          <w:color w:val="00B050"/>
          <w:sz w:val="30"/>
        </w:rPr>
        <w:t>投标报价说明</w:t>
      </w:r>
    </w:p>
    <w:p>
      <w:pPr>
        <w:pStyle w:val="4"/>
        <w:spacing w:beforeLines="20" w:afterLines="20" w:line="540" w:lineRule="exact"/>
        <w:rPr>
          <w:rFonts w:ascii="仿宋_GB2312" w:eastAsia="仿宋_GB2312"/>
          <w:color w:val="00B050"/>
        </w:rPr>
      </w:pPr>
    </w:p>
    <w:p>
      <w:pPr>
        <w:tabs>
          <w:tab w:val="left" w:pos="2580"/>
        </w:tabs>
        <w:spacing w:beforeLines="20" w:afterLines="20" w:line="540" w:lineRule="exact"/>
        <w:rPr>
          <w:rFonts w:ascii="仿宋_GB2312" w:eastAsia="仿宋_GB2312"/>
          <w:color w:val="00B050"/>
          <w:sz w:val="24"/>
        </w:rPr>
      </w:pPr>
      <w:r>
        <w:rPr>
          <w:rFonts w:hint="eastAsia" w:ascii="仿宋_GB2312" w:eastAsia="仿宋_GB2312"/>
          <w:color w:val="00B050"/>
          <w:sz w:val="24"/>
        </w:rPr>
        <w:t xml:space="preserve">    1.</w:t>
      </w:r>
      <w:r>
        <w:rPr>
          <w:rFonts w:hint="eastAsia" w:ascii="仿宋_GB2312" w:hAnsi="宋体" w:eastAsia="仿宋_GB2312"/>
          <w:color w:val="00B050"/>
          <w:sz w:val="24"/>
        </w:rPr>
        <w:t>本报价依据本工程投标须知和合同文件的有关条款进行编制。</w:t>
      </w:r>
    </w:p>
    <w:p>
      <w:pPr>
        <w:tabs>
          <w:tab w:val="left" w:pos="7042"/>
        </w:tabs>
        <w:spacing w:beforeLines="20" w:afterLines="20" w:line="540" w:lineRule="exact"/>
        <w:ind w:firstLine="480"/>
        <w:rPr>
          <w:rFonts w:ascii="仿宋_GB2312" w:eastAsia="仿宋_GB2312"/>
          <w:sz w:val="24"/>
        </w:rPr>
      </w:pPr>
      <w:r>
        <w:rPr>
          <w:rFonts w:hint="eastAsia" w:ascii="仿宋_GB2312" w:eastAsia="仿宋_GB2312"/>
          <w:color w:val="00B050"/>
          <w:sz w:val="24"/>
        </w:rPr>
        <w:t>2.</w:t>
      </w:r>
      <w:r>
        <w:rPr>
          <w:rFonts w:hint="eastAsia" w:ascii="仿宋_GB2312" w:hAnsi="宋体" w:eastAsia="仿宋_GB2312"/>
          <w:color w:val="00B050"/>
          <w:sz w:val="24"/>
        </w:rPr>
        <w:t>工程量清单报价表中所填入的综合单价和合价，</w:t>
      </w:r>
      <w:r>
        <w:rPr>
          <w:rFonts w:hint="eastAsia" w:ascii="仿宋_GB2312" w:hAnsi="宋体" w:eastAsia="仿宋_GB2312"/>
          <w:b/>
          <w:bCs/>
          <w:color w:val="FF0000"/>
          <w:sz w:val="24"/>
        </w:rPr>
        <w:t>其组成包括人工费、材料费、机械费、管理费、规费、税金、措施费、利润、施工工期内的风险费用、养护费用等为完成本工程项目所需发生的一切费用。</w:t>
      </w:r>
    </w:p>
    <w:p>
      <w:pPr>
        <w:tabs>
          <w:tab w:val="left" w:pos="7042"/>
        </w:tabs>
        <w:spacing w:beforeLines="20" w:afterLines="20" w:line="540" w:lineRule="exact"/>
        <w:ind w:firstLine="480"/>
        <w:rPr>
          <w:rFonts w:ascii="仿宋_GB2312" w:eastAsia="仿宋_GB2312"/>
          <w:color w:val="00B050"/>
          <w:sz w:val="24"/>
        </w:rPr>
      </w:pPr>
      <w:r>
        <w:rPr>
          <w:rFonts w:hint="eastAsia" w:ascii="仿宋_GB2312" w:eastAsia="仿宋_GB2312"/>
          <w:color w:val="00B050"/>
          <w:sz w:val="24"/>
        </w:rPr>
        <w:t>3.</w:t>
      </w:r>
      <w:r>
        <w:rPr>
          <w:rFonts w:hint="eastAsia" w:ascii="仿宋_GB2312" w:hAnsi="宋体" w:eastAsia="仿宋_GB2312"/>
          <w:color w:val="00B050"/>
          <w:sz w:val="24"/>
        </w:rPr>
        <w:t>措施项目报价表中所填入的措施项目报价，包括采用的各种措施的费用。</w:t>
      </w:r>
    </w:p>
    <w:p>
      <w:pPr>
        <w:spacing w:beforeLines="20" w:afterLines="20" w:line="540" w:lineRule="exact"/>
        <w:ind w:firstLine="480"/>
        <w:rPr>
          <w:rFonts w:ascii="仿宋_GB2312" w:eastAsia="仿宋_GB2312"/>
          <w:color w:val="00B050"/>
          <w:sz w:val="24"/>
        </w:rPr>
      </w:pPr>
      <w:r>
        <w:rPr>
          <w:rFonts w:hint="eastAsia" w:ascii="仿宋_GB2312" w:eastAsia="仿宋_GB2312"/>
          <w:color w:val="00B050"/>
          <w:sz w:val="24"/>
        </w:rPr>
        <w:t>4.</w:t>
      </w:r>
      <w:r>
        <w:rPr>
          <w:rFonts w:hint="eastAsia" w:ascii="仿宋_GB2312" w:hAnsi="宋体" w:eastAsia="仿宋_GB2312"/>
          <w:color w:val="00B050"/>
          <w:sz w:val="24"/>
        </w:rPr>
        <w:t>其他项目报价表中所填入的其他项目报价，包括工程量清单报价表和措施项目报价表以外的，为完成本工程项目的施工所必须发生的其他费用。</w:t>
      </w:r>
    </w:p>
    <w:p>
      <w:pPr>
        <w:tabs>
          <w:tab w:val="left" w:pos="2580"/>
        </w:tabs>
        <w:spacing w:beforeLines="20" w:afterLines="20" w:line="540" w:lineRule="exact"/>
        <w:rPr>
          <w:rFonts w:ascii="仿宋_GB2312" w:eastAsia="仿宋_GB2312"/>
          <w:color w:val="00B050"/>
          <w:sz w:val="24"/>
        </w:rPr>
      </w:pPr>
      <w:r>
        <w:rPr>
          <w:rFonts w:hint="eastAsia" w:ascii="仿宋_GB2312" w:eastAsia="仿宋_GB2312"/>
          <w:color w:val="00B050"/>
          <w:sz w:val="24"/>
        </w:rPr>
        <w:t xml:space="preserve">    5.</w:t>
      </w:r>
      <w:r>
        <w:rPr>
          <w:rFonts w:hint="eastAsia" w:ascii="仿宋_GB2312" w:hAnsi="宋体" w:eastAsia="仿宋_GB2312"/>
          <w:color w:val="00B050"/>
          <w:sz w:val="24"/>
        </w:rPr>
        <w:t>本工程量清单报价表中的每一单项均应填写单价和合价，对没有填写单价和合价的项目费用，视为已包括在工程量清单的其他单价或合价之中。</w:t>
      </w:r>
    </w:p>
    <w:p>
      <w:pPr>
        <w:tabs>
          <w:tab w:val="left" w:pos="2580"/>
        </w:tabs>
        <w:spacing w:beforeLines="20" w:afterLines="20" w:line="540" w:lineRule="exact"/>
        <w:ind w:firstLine="480"/>
        <w:rPr>
          <w:rFonts w:ascii="仿宋_GB2312" w:eastAsia="仿宋_GB2312"/>
          <w:color w:val="00B050"/>
          <w:sz w:val="24"/>
        </w:rPr>
      </w:pPr>
      <w:r>
        <w:rPr>
          <w:rFonts w:hint="eastAsia" w:ascii="仿宋_GB2312" w:eastAsia="仿宋_GB2312"/>
          <w:color w:val="00B050"/>
          <w:sz w:val="24"/>
        </w:rPr>
        <w:t>6.</w:t>
      </w:r>
      <w:r>
        <w:rPr>
          <w:rFonts w:hint="eastAsia" w:ascii="仿宋_GB2312" w:hAnsi="宋体" w:eastAsia="仿宋_GB2312"/>
          <w:color w:val="00B050"/>
          <w:sz w:val="24"/>
        </w:rPr>
        <w:t>本报价的币种为</w:t>
      </w:r>
      <w:r>
        <w:rPr>
          <w:rFonts w:hint="eastAsia" w:ascii="仿宋_GB2312" w:hAnsi="宋体" w:eastAsia="仿宋_GB2312"/>
          <w:color w:val="00B050"/>
          <w:sz w:val="24"/>
          <w:u w:val="single"/>
        </w:rPr>
        <w:t>人民币</w:t>
      </w:r>
      <w:r>
        <w:rPr>
          <w:rFonts w:hint="eastAsia" w:ascii="仿宋_GB2312" w:hAnsi="宋体" w:eastAsia="仿宋_GB2312"/>
          <w:color w:val="00B050"/>
          <w:sz w:val="24"/>
        </w:rPr>
        <w:t>。</w:t>
      </w:r>
    </w:p>
    <w:p>
      <w:pPr>
        <w:tabs>
          <w:tab w:val="left" w:pos="2580"/>
        </w:tabs>
        <w:spacing w:beforeLines="20" w:afterLines="20" w:line="540" w:lineRule="exact"/>
        <w:ind w:firstLine="480"/>
        <w:rPr>
          <w:rFonts w:ascii="仿宋_GB2312" w:eastAsia="仿宋_GB2312"/>
          <w:sz w:val="24"/>
        </w:rPr>
      </w:pPr>
      <w:r>
        <w:rPr>
          <w:rFonts w:hint="eastAsia" w:ascii="仿宋_GB2312" w:eastAsia="仿宋_GB2312"/>
          <w:color w:val="00B050"/>
          <w:sz w:val="24"/>
        </w:rPr>
        <w:t>7.</w:t>
      </w:r>
      <w:r>
        <w:rPr>
          <w:rFonts w:hint="eastAsia" w:ascii="仿宋_GB2312" w:hAnsi="宋体" w:eastAsia="仿宋_GB2312"/>
          <w:color w:val="00B050"/>
          <w:sz w:val="24"/>
        </w:rPr>
        <w:t>投标人应将投标报价需要说明的事项，用文字书写与投标报价表一并报送。</w:t>
      </w:r>
    </w:p>
    <w:p>
      <w:pPr>
        <w:tabs>
          <w:tab w:val="left" w:pos="2580"/>
        </w:tabs>
        <w:spacing w:beforeLines="20" w:afterLines="20" w:line="540" w:lineRule="exact"/>
        <w:ind w:firstLine="480"/>
        <w:rPr>
          <w:rFonts w:ascii="仿宋_GB2312" w:eastAsia="仿宋_GB2312"/>
          <w:sz w:val="24"/>
        </w:rPr>
      </w:pPr>
    </w:p>
    <w:p>
      <w:pPr>
        <w:tabs>
          <w:tab w:val="left" w:pos="2580"/>
        </w:tabs>
        <w:spacing w:beforeLines="20" w:afterLines="20" w:line="540" w:lineRule="exact"/>
        <w:ind w:firstLine="480"/>
        <w:rPr>
          <w:rFonts w:ascii="仿宋_GB2312" w:eastAsia="仿宋_GB2312"/>
          <w:sz w:val="24"/>
        </w:rPr>
      </w:pPr>
    </w:p>
    <w:p>
      <w:pPr>
        <w:tabs>
          <w:tab w:val="left" w:pos="2580"/>
        </w:tabs>
        <w:spacing w:beforeLines="20" w:afterLines="20" w:line="540" w:lineRule="exact"/>
        <w:ind w:firstLine="480"/>
        <w:rPr>
          <w:rFonts w:ascii="仿宋_GB2312" w:eastAsia="仿宋_GB2312"/>
          <w:sz w:val="24"/>
        </w:rPr>
      </w:pPr>
    </w:p>
    <w:p>
      <w:pPr>
        <w:tabs>
          <w:tab w:val="left" w:pos="2580"/>
        </w:tabs>
        <w:spacing w:beforeLines="20" w:afterLines="20" w:line="540" w:lineRule="exact"/>
        <w:ind w:firstLine="480"/>
        <w:rPr>
          <w:rFonts w:ascii="仿宋_GB2312" w:eastAsia="仿宋_GB2312"/>
          <w:sz w:val="24"/>
        </w:rPr>
      </w:pPr>
    </w:p>
    <w:p>
      <w:pPr>
        <w:tabs>
          <w:tab w:val="left" w:pos="2580"/>
        </w:tabs>
        <w:spacing w:beforeLines="20" w:afterLines="20" w:line="540" w:lineRule="exact"/>
        <w:ind w:firstLine="480"/>
        <w:rPr>
          <w:rFonts w:ascii="仿宋_GB2312" w:eastAsia="仿宋_GB2312"/>
          <w:sz w:val="24"/>
        </w:rPr>
      </w:pPr>
    </w:p>
    <w:p>
      <w:pPr>
        <w:tabs>
          <w:tab w:val="left" w:pos="2580"/>
        </w:tabs>
        <w:spacing w:beforeLines="20" w:afterLines="20" w:line="540" w:lineRule="exact"/>
        <w:ind w:firstLine="480"/>
        <w:rPr>
          <w:rFonts w:ascii="仿宋_GB2312" w:eastAsia="仿宋_GB2312"/>
          <w:sz w:val="24"/>
        </w:rPr>
      </w:pPr>
    </w:p>
    <w:p>
      <w:pPr>
        <w:tabs>
          <w:tab w:val="left" w:pos="2580"/>
        </w:tabs>
        <w:spacing w:beforeLines="20" w:afterLines="20" w:line="540" w:lineRule="exact"/>
        <w:ind w:firstLine="480"/>
        <w:rPr>
          <w:rFonts w:ascii="仿宋_GB2312" w:eastAsia="仿宋_GB2312"/>
          <w:sz w:val="24"/>
        </w:rPr>
      </w:pPr>
    </w:p>
    <w:tbl>
      <w:tblPr>
        <w:tblStyle w:val="49"/>
        <w:tblW w:w="8237" w:type="dxa"/>
        <w:tblInd w:w="93" w:type="dxa"/>
        <w:tblLayout w:type="autofit"/>
        <w:tblCellMar>
          <w:top w:w="0" w:type="dxa"/>
          <w:left w:w="108" w:type="dxa"/>
          <w:bottom w:w="0" w:type="dxa"/>
          <w:right w:w="108" w:type="dxa"/>
        </w:tblCellMar>
      </w:tblPr>
      <w:tblGrid>
        <w:gridCol w:w="758"/>
        <w:gridCol w:w="938"/>
        <w:gridCol w:w="4131"/>
        <w:gridCol w:w="2410"/>
      </w:tblGrid>
      <w:tr>
        <w:tblPrEx>
          <w:tblCellMar>
            <w:top w:w="0" w:type="dxa"/>
            <w:left w:w="108" w:type="dxa"/>
            <w:bottom w:w="0" w:type="dxa"/>
            <w:right w:w="108" w:type="dxa"/>
          </w:tblCellMar>
        </w:tblPrEx>
        <w:trPr>
          <w:trHeight w:val="559" w:hRule="atLeast"/>
        </w:trPr>
        <w:tc>
          <w:tcPr>
            <w:tcW w:w="8237" w:type="dxa"/>
            <w:gridSpan w:val="4"/>
            <w:tcBorders>
              <w:top w:val="nil"/>
              <w:left w:val="nil"/>
              <w:bottom w:val="nil"/>
              <w:right w:val="nil"/>
            </w:tcBorders>
            <w:shd w:val="clear" w:color="000000" w:fill="FFFFFF"/>
          </w:tcPr>
          <w:p>
            <w:pPr>
              <w:widowControl/>
              <w:jc w:val="center"/>
              <w:rPr>
                <w:rFonts w:ascii="宋体" w:hAnsi="宋体" w:cs="Arial"/>
                <w:b/>
                <w:bCs/>
                <w:color w:val="00B050"/>
                <w:kern w:val="0"/>
                <w:sz w:val="36"/>
                <w:szCs w:val="36"/>
              </w:rPr>
            </w:pPr>
            <w:r>
              <w:rPr>
                <w:rFonts w:hint="eastAsia"/>
                <w:b/>
                <w:color w:val="00B050"/>
                <w:sz w:val="44"/>
                <w:szCs w:val="44"/>
              </w:rPr>
              <w:t>投标报价汇总表</w:t>
            </w:r>
          </w:p>
        </w:tc>
      </w:tr>
      <w:tr>
        <w:tblPrEx>
          <w:tblCellMar>
            <w:top w:w="0" w:type="dxa"/>
            <w:left w:w="108" w:type="dxa"/>
            <w:bottom w:w="0" w:type="dxa"/>
            <w:right w:w="108" w:type="dxa"/>
          </w:tblCellMar>
        </w:tblPrEx>
        <w:trPr>
          <w:trHeight w:val="300" w:hRule="atLeast"/>
        </w:trPr>
        <w:tc>
          <w:tcPr>
            <w:tcW w:w="5827" w:type="dxa"/>
            <w:gridSpan w:val="3"/>
            <w:tcBorders>
              <w:top w:val="nil"/>
              <w:left w:val="nil"/>
              <w:bottom w:val="nil"/>
              <w:right w:val="nil"/>
            </w:tcBorders>
            <w:shd w:val="clear" w:color="000000" w:fill="FFFFFF"/>
            <w:vAlign w:val="center"/>
          </w:tcPr>
          <w:p>
            <w:pPr>
              <w:widowControl/>
              <w:jc w:val="left"/>
              <w:rPr>
                <w:color w:val="00B050"/>
                <w:sz w:val="24"/>
              </w:rPr>
            </w:pPr>
            <w:r>
              <w:rPr>
                <w:rFonts w:hint="eastAsia"/>
                <w:color w:val="00B050"/>
                <w:sz w:val="24"/>
              </w:rPr>
              <w:t>工程名称：</w:t>
            </w:r>
          </w:p>
        </w:tc>
        <w:tc>
          <w:tcPr>
            <w:tcW w:w="2410" w:type="dxa"/>
            <w:tcBorders>
              <w:top w:val="nil"/>
              <w:left w:val="nil"/>
              <w:bottom w:val="nil"/>
              <w:right w:val="nil"/>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499" w:hRule="atLeast"/>
        </w:trPr>
        <w:tc>
          <w:tcPr>
            <w:tcW w:w="758" w:type="dxa"/>
            <w:tcBorders>
              <w:top w:val="single" w:color="000000" w:sz="8" w:space="0"/>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序号</w:t>
            </w:r>
          </w:p>
        </w:tc>
        <w:tc>
          <w:tcPr>
            <w:tcW w:w="938" w:type="dxa"/>
            <w:tcBorders>
              <w:top w:val="single" w:color="000000" w:sz="8" w:space="0"/>
              <w:left w:val="nil"/>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章次</w:t>
            </w:r>
          </w:p>
        </w:tc>
        <w:tc>
          <w:tcPr>
            <w:tcW w:w="4131" w:type="dxa"/>
            <w:tcBorders>
              <w:top w:val="single" w:color="000000" w:sz="8" w:space="0"/>
              <w:left w:val="nil"/>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科目名称</w:t>
            </w:r>
          </w:p>
        </w:tc>
        <w:tc>
          <w:tcPr>
            <w:tcW w:w="2410" w:type="dxa"/>
            <w:tcBorders>
              <w:top w:val="single" w:color="000000" w:sz="8" w:space="0"/>
              <w:left w:val="nil"/>
              <w:bottom w:val="single" w:color="000000" w:sz="4" w:space="0"/>
              <w:right w:val="single" w:color="000000" w:sz="8" w:space="0"/>
            </w:tcBorders>
            <w:shd w:val="clear" w:color="000000" w:fill="FFFFFF"/>
            <w:vAlign w:val="center"/>
          </w:tcPr>
          <w:p>
            <w:pPr>
              <w:widowControl/>
              <w:jc w:val="center"/>
              <w:rPr>
                <w:color w:val="00B050"/>
                <w:sz w:val="24"/>
              </w:rPr>
            </w:pPr>
            <w:r>
              <w:rPr>
                <w:rFonts w:hint="eastAsia"/>
                <w:color w:val="00B050"/>
                <w:sz w:val="24"/>
              </w:rPr>
              <w:t>金额（元）</w:t>
            </w:r>
          </w:p>
        </w:tc>
      </w:tr>
      <w:tr>
        <w:tblPrEx>
          <w:tblCellMar>
            <w:top w:w="0" w:type="dxa"/>
            <w:left w:w="108" w:type="dxa"/>
            <w:bottom w:w="0" w:type="dxa"/>
            <w:right w:w="108" w:type="dxa"/>
          </w:tblCellMar>
        </w:tblPrEx>
        <w:trPr>
          <w:trHeight w:val="300" w:hRule="atLeast"/>
        </w:trPr>
        <w:tc>
          <w:tcPr>
            <w:tcW w:w="758"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5</w:t>
            </w:r>
          </w:p>
        </w:tc>
        <w:tc>
          <w:tcPr>
            <w:tcW w:w="5069" w:type="dxa"/>
            <w:gridSpan w:val="2"/>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第100章至第700章合计</w:t>
            </w:r>
          </w:p>
        </w:tc>
        <w:tc>
          <w:tcPr>
            <w:tcW w:w="241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300" w:hRule="atLeast"/>
        </w:trPr>
        <w:tc>
          <w:tcPr>
            <w:tcW w:w="758"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6</w:t>
            </w:r>
          </w:p>
        </w:tc>
        <w:tc>
          <w:tcPr>
            <w:tcW w:w="5069" w:type="dxa"/>
            <w:gridSpan w:val="2"/>
            <w:tcBorders>
              <w:top w:val="nil"/>
              <w:left w:val="nil"/>
              <w:bottom w:val="single" w:color="000000" w:sz="4" w:space="0"/>
              <w:right w:val="single" w:color="000000" w:sz="4" w:space="0"/>
            </w:tcBorders>
            <w:shd w:val="clear" w:color="000000" w:fill="FFFFFF"/>
            <w:vAlign w:val="center"/>
          </w:tcPr>
          <w:p>
            <w:pPr>
              <w:widowControl/>
              <w:jc w:val="center"/>
              <w:rPr>
                <w:color w:val="FF0000"/>
                <w:sz w:val="24"/>
              </w:rPr>
            </w:pPr>
            <w:r>
              <w:rPr>
                <w:rFonts w:hint="eastAsia"/>
                <w:color w:val="FF0000"/>
                <w:sz w:val="24"/>
              </w:rPr>
              <w:t>已包含在清单合计中的材料、工程设备、专业工程暂估价合计</w:t>
            </w:r>
          </w:p>
        </w:tc>
        <w:tc>
          <w:tcPr>
            <w:tcW w:w="241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300" w:hRule="atLeast"/>
        </w:trPr>
        <w:tc>
          <w:tcPr>
            <w:tcW w:w="758"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7</w:t>
            </w:r>
          </w:p>
        </w:tc>
        <w:tc>
          <w:tcPr>
            <w:tcW w:w="5069" w:type="dxa"/>
            <w:gridSpan w:val="2"/>
            <w:tcBorders>
              <w:top w:val="nil"/>
              <w:left w:val="nil"/>
              <w:bottom w:val="single" w:color="000000" w:sz="4" w:space="0"/>
              <w:right w:val="single" w:color="000000" w:sz="4" w:space="0"/>
            </w:tcBorders>
            <w:shd w:val="clear" w:color="000000" w:fill="FFFFFF"/>
            <w:vAlign w:val="center"/>
          </w:tcPr>
          <w:p>
            <w:pPr>
              <w:widowControl/>
              <w:jc w:val="center"/>
              <w:rPr>
                <w:color w:val="FF0000"/>
                <w:sz w:val="24"/>
              </w:rPr>
            </w:pPr>
            <w:r>
              <w:rPr>
                <w:rFonts w:hint="eastAsia"/>
                <w:color w:val="FF0000"/>
                <w:sz w:val="24"/>
              </w:rPr>
              <w:t>清单合计减去材料、工程设备、专业工程暂估价合计</w:t>
            </w:r>
          </w:p>
        </w:tc>
        <w:tc>
          <w:tcPr>
            <w:tcW w:w="241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300" w:hRule="atLeast"/>
        </w:trPr>
        <w:tc>
          <w:tcPr>
            <w:tcW w:w="758"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8</w:t>
            </w:r>
          </w:p>
        </w:tc>
        <w:tc>
          <w:tcPr>
            <w:tcW w:w="5069" w:type="dxa"/>
            <w:gridSpan w:val="2"/>
            <w:tcBorders>
              <w:top w:val="nil"/>
              <w:left w:val="nil"/>
              <w:bottom w:val="single" w:color="000000" w:sz="4" w:space="0"/>
              <w:right w:val="single" w:color="000000" w:sz="4" w:space="0"/>
            </w:tcBorders>
            <w:shd w:val="clear" w:color="000000" w:fill="FFFFFF"/>
            <w:vAlign w:val="center"/>
          </w:tcPr>
          <w:p>
            <w:pPr>
              <w:widowControl/>
              <w:jc w:val="center"/>
              <w:rPr>
                <w:color w:val="FF0000"/>
                <w:sz w:val="24"/>
              </w:rPr>
            </w:pPr>
            <w:r>
              <w:rPr>
                <w:rFonts w:hint="eastAsia"/>
                <w:color w:val="FF0000"/>
                <w:sz w:val="24"/>
              </w:rPr>
              <w:t>计日工合计</w:t>
            </w:r>
          </w:p>
        </w:tc>
        <w:tc>
          <w:tcPr>
            <w:tcW w:w="241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300" w:hRule="atLeast"/>
        </w:trPr>
        <w:tc>
          <w:tcPr>
            <w:tcW w:w="758"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9</w:t>
            </w:r>
          </w:p>
        </w:tc>
        <w:tc>
          <w:tcPr>
            <w:tcW w:w="5069" w:type="dxa"/>
            <w:gridSpan w:val="2"/>
            <w:tcBorders>
              <w:top w:val="nil"/>
              <w:left w:val="nil"/>
              <w:bottom w:val="single" w:color="000000" w:sz="4" w:space="0"/>
              <w:right w:val="single" w:color="000000" w:sz="4" w:space="0"/>
            </w:tcBorders>
            <w:shd w:val="clear" w:color="000000" w:fill="FFFFFF"/>
            <w:vAlign w:val="center"/>
          </w:tcPr>
          <w:p>
            <w:pPr>
              <w:widowControl/>
              <w:jc w:val="center"/>
              <w:rPr>
                <w:color w:val="FF0000"/>
                <w:sz w:val="24"/>
              </w:rPr>
            </w:pPr>
            <w:r>
              <w:rPr>
                <w:rFonts w:hint="eastAsia"/>
                <w:color w:val="FF0000"/>
                <w:sz w:val="24"/>
              </w:rPr>
              <w:t>暂列金额（不含计日工总额）</w:t>
            </w:r>
          </w:p>
        </w:tc>
        <w:tc>
          <w:tcPr>
            <w:tcW w:w="241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300" w:hRule="atLeast"/>
        </w:trPr>
        <w:tc>
          <w:tcPr>
            <w:tcW w:w="758"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10</w:t>
            </w:r>
          </w:p>
        </w:tc>
        <w:tc>
          <w:tcPr>
            <w:tcW w:w="5069" w:type="dxa"/>
            <w:gridSpan w:val="2"/>
            <w:tcBorders>
              <w:top w:val="nil"/>
              <w:left w:val="nil"/>
              <w:bottom w:val="single" w:color="000000" w:sz="4" w:space="0"/>
              <w:right w:val="single" w:color="000000" w:sz="4" w:space="0"/>
            </w:tcBorders>
            <w:shd w:val="clear" w:color="000000" w:fill="FFFFFF"/>
            <w:vAlign w:val="center"/>
          </w:tcPr>
          <w:p>
            <w:pPr>
              <w:widowControl/>
              <w:jc w:val="center"/>
              <w:rPr>
                <w:color w:val="FF0000"/>
                <w:sz w:val="24"/>
              </w:rPr>
            </w:pPr>
            <w:r>
              <w:rPr>
                <w:rFonts w:hint="eastAsia"/>
                <w:color w:val="FF0000"/>
                <w:sz w:val="24"/>
              </w:rPr>
              <w:t>投标报价</w:t>
            </w:r>
          </w:p>
        </w:tc>
        <w:tc>
          <w:tcPr>
            <w:tcW w:w="241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6434" w:hRule="atLeast"/>
        </w:trPr>
        <w:tc>
          <w:tcPr>
            <w:tcW w:w="758"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　</w:t>
            </w:r>
          </w:p>
        </w:tc>
        <w:tc>
          <w:tcPr>
            <w:tcW w:w="5069" w:type="dxa"/>
            <w:gridSpan w:val="2"/>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Arial"/>
                <w:color w:val="00B050"/>
                <w:kern w:val="0"/>
                <w:sz w:val="16"/>
                <w:szCs w:val="16"/>
              </w:rPr>
            </w:pPr>
            <w:r>
              <w:rPr>
                <w:rFonts w:hint="eastAsia" w:ascii="宋体" w:hAnsi="宋体" w:cs="Arial"/>
                <w:color w:val="00B050"/>
                <w:kern w:val="0"/>
                <w:sz w:val="16"/>
                <w:szCs w:val="16"/>
              </w:rPr>
              <w:t>　</w:t>
            </w:r>
          </w:p>
        </w:tc>
        <w:tc>
          <w:tcPr>
            <w:tcW w:w="2410" w:type="dxa"/>
            <w:tcBorders>
              <w:top w:val="nil"/>
              <w:left w:val="nil"/>
              <w:bottom w:val="single" w:color="000000" w:sz="4" w:space="0"/>
              <w:right w:val="single" w:color="000000" w:sz="8" w:space="0"/>
            </w:tcBorders>
            <w:shd w:val="clear" w:color="000000" w:fill="FFFFFF"/>
            <w:vAlign w:val="center"/>
          </w:tcPr>
          <w:p>
            <w:pPr>
              <w:widowControl/>
              <w:jc w:val="right"/>
              <w:rPr>
                <w:rFonts w:ascii="Arial Narrow" w:hAnsi="Arial Narrow" w:cs="Arial"/>
                <w:color w:val="00B050"/>
                <w:kern w:val="0"/>
                <w:sz w:val="16"/>
                <w:szCs w:val="16"/>
              </w:rPr>
            </w:pPr>
            <w:r>
              <w:rPr>
                <w:rFonts w:ascii="Arial Narrow" w:hAnsi="Arial Narrow" w:cs="Arial"/>
                <w:color w:val="00B050"/>
                <w:kern w:val="0"/>
                <w:sz w:val="16"/>
                <w:szCs w:val="16"/>
              </w:rPr>
              <w:t>　</w:t>
            </w:r>
          </w:p>
        </w:tc>
      </w:tr>
    </w:tbl>
    <w:p>
      <w:pPr>
        <w:rPr>
          <w:color w:val="00B050"/>
        </w:rPr>
      </w:pPr>
    </w:p>
    <w:p>
      <w:pPr>
        <w:jc w:val="center"/>
        <w:rPr>
          <w:b/>
          <w:color w:val="FF0000"/>
          <w:sz w:val="44"/>
          <w:szCs w:val="44"/>
        </w:rPr>
      </w:pPr>
    </w:p>
    <w:p>
      <w:pPr>
        <w:jc w:val="center"/>
        <w:rPr>
          <w:b/>
          <w:color w:val="FF0000"/>
          <w:sz w:val="44"/>
          <w:szCs w:val="44"/>
        </w:rPr>
      </w:pPr>
    </w:p>
    <w:p>
      <w:pPr>
        <w:jc w:val="center"/>
        <w:rPr>
          <w:b/>
          <w:color w:val="FF0000"/>
          <w:sz w:val="44"/>
          <w:szCs w:val="44"/>
        </w:rPr>
      </w:pPr>
    </w:p>
    <w:p>
      <w:pPr>
        <w:jc w:val="center"/>
        <w:rPr>
          <w:b/>
          <w:color w:val="FF0000"/>
          <w:sz w:val="44"/>
          <w:szCs w:val="44"/>
        </w:rPr>
      </w:pPr>
    </w:p>
    <w:p>
      <w:pPr>
        <w:jc w:val="center"/>
        <w:rPr>
          <w:b/>
          <w:color w:val="FF0000"/>
          <w:sz w:val="44"/>
          <w:szCs w:val="44"/>
        </w:rPr>
      </w:pPr>
    </w:p>
    <w:p>
      <w:pPr>
        <w:rPr>
          <w:b/>
          <w:color w:val="FF0000"/>
          <w:sz w:val="44"/>
          <w:szCs w:val="44"/>
        </w:rPr>
      </w:pPr>
    </w:p>
    <w:tbl>
      <w:tblPr>
        <w:tblStyle w:val="49"/>
        <w:tblW w:w="9080" w:type="dxa"/>
        <w:tblInd w:w="93" w:type="dxa"/>
        <w:tblLayout w:type="autofit"/>
        <w:tblCellMar>
          <w:top w:w="0" w:type="dxa"/>
          <w:left w:w="108" w:type="dxa"/>
          <w:bottom w:w="0" w:type="dxa"/>
          <w:right w:w="108" w:type="dxa"/>
        </w:tblCellMar>
      </w:tblPr>
      <w:tblGrid>
        <w:gridCol w:w="940"/>
        <w:gridCol w:w="4020"/>
        <w:gridCol w:w="760"/>
        <w:gridCol w:w="1120"/>
        <w:gridCol w:w="1120"/>
        <w:gridCol w:w="1120"/>
      </w:tblGrid>
      <w:tr>
        <w:tblPrEx>
          <w:tblCellMar>
            <w:top w:w="0" w:type="dxa"/>
            <w:left w:w="108" w:type="dxa"/>
            <w:bottom w:w="0" w:type="dxa"/>
            <w:right w:w="108" w:type="dxa"/>
          </w:tblCellMar>
        </w:tblPrEx>
        <w:trPr>
          <w:trHeight w:val="450" w:hRule="atLeast"/>
        </w:trPr>
        <w:tc>
          <w:tcPr>
            <w:tcW w:w="9080" w:type="dxa"/>
            <w:gridSpan w:val="6"/>
            <w:tcBorders>
              <w:top w:val="nil"/>
              <w:left w:val="nil"/>
              <w:bottom w:val="nil"/>
              <w:right w:val="nil"/>
            </w:tcBorders>
            <w:shd w:val="clear" w:color="000000" w:fill="FFFFFF"/>
          </w:tcPr>
          <w:p>
            <w:pPr>
              <w:widowControl/>
              <w:jc w:val="center"/>
              <w:rPr>
                <w:b/>
                <w:color w:val="00B050"/>
                <w:sz w:val="44"/>
                <w:szCs w:val="44"/>
              </w:rPr>
            </w:pPr>
          </w:p>
          <w:p>
            <w:pPr>
              <w:widowControl/>
              <w:jc w:val="center"/>
              <w:rPr>
                <w:b/>
                <w:color w:val="00B050"/>
                <w:sz w:val="44"/>
                <w:szCs w:val="44"/>
              </w:rPr>
            </w:pPr>
          </w:p>
          <w:p>
            <w:pPr>
              <w:widowControl/>
              <w:jc w:val="center"/>
              <w:rPr>
                <w:rFonts w:ascii="宋体" w:hAnsi="宋体" w:cs="Arial"/>
                <w:b/>
                <w:bCs/>
                <w:color w:val="00B050"/>
                <w:kern w:val="0"/>
                <w:sz w:val="36"/>
                <w:szCs w:val="36"/>
              </w:rPr>
            </w:pPr>
            <w:r>
              <w:rPr>
                <w:rFonts w:hint="eastAsia"/>
                <w:b/>
                <w:color w:val="00B050"/>
                <w:sz w:val="44"/>
                <w:szCs w:val="44"/>
              </w:rPr>
              <w:t>工程量清单表</w:t>
            </w:r>
          </w:p>
        </w:tc>
      </w:tr>
      <w:tr>
        <w:tblPrEx>
          <w:tblCellMar>
            <w:top w:w="0" w:type="dxa"/>
            <w:left w:w="108" w:type="dxa"/>
            <w:bottom w:w="0" w:type="dxa"/>
            <w:right w:w="108" w:type="dxa"/>
          </w:tblCellMar>
        </w:tblPrEx>
        <w:trPr>
          <w:trHeight w:val="255" w:hRule="atLeast"/>
        </w:trPr>
        <w:tc>
          <w:tcPr>
            <w:tcW w:w="4960" w:type="dxa"/>
            <w:gridSpan w:val="2"/>
            <w:tcBorders>
              <w:top w:val="nil"/>
              <w:left w:val="nil"/>
              <w:bottom w:val="nil"/>
              <w:right w:val="nil"/>
            </w:tcBorders>
            <w:shd w:val="clear" w:color="000000" w:fill="FFFFFF"/>
            <w:vAlign w:val="center"/>
          </w:tcPr>
          <w:p>
            <w:pPr>
              <w:widowControl/>
              <w:jc w:val="left"/>
              <w:rPr>
                <w:color w:val="00B050"/>
                <w:sz w:val="24"/>
              </w:rPr>
            </w:pPr>
            <w:r>
              <w:rPr>
                <w:rFonts w:hint="eastAsia"/>
                <w:color w:val="00B050"/>
                <w:sz w:val="24"/>
              </w:rPr>
              <w:t>工程名称：</w:t>
            </w:r>
          </w:p>
        </w:tc>
        <w:tc>
          <w:tcPr>
            <w:tcW w:w="3000" w:type="dxa"/>
            <w:gridSpan w:val="3"/>
            <w:tcBorders>
              <w:top w:val="nil"/>
              <w:left w:val="nil"/>
              <w:bottom w:val="nil"/>
              <w:right w:val="nil"/>
            </w:tcBorders>
            <w:shd w:val="clear" w:color="000000" w:fill="FFFFFF"/>
            <w:vAlign w:val="center"/>
          </w:tcPr>
          <w:p>
            <w:pPr>
              <w:widowControl/>
              <w:jc w:val="right"/>
              <w:rPr>
                <w:color w:val="00B050"/>
                <w:sz w:val="24"/>
              </w:rPr>
            </w:pPr>
            <w:r>
              <w:rPr>
                <w:rFonts w:hint="eastAsia"/>
                <w:color w:val="00B050"/>
                <w:sz w:val="24"/>
              </w:rPr>
              <w:t>　</w:t>
            </w:r>
          </w:p>
        </w:tc>
        <w:tc>
          <w:tcPr>
            <w:tcW w:w="1120" w:type="dxa"/>
            <w:tcBorders>
              <w:top w:val="nil"/>
              <w:left w:val="nil"/>
              <w:bottom w:val="nil"/>
              <w:right w:val="nil"/>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85" w:hRule="atLeast"/>
        </w:trPr>
        <w:tc>
          <w:tcPr>
            <w:tcW w:w="9080" w:type="dxa"/>
            <w:gridSpan w:val="6"/>
            <w:tcBorders>
              <w:top w:val="single" w:color="000000" w:sz="8" w:space="0"/>
              <w:left w:val="single" w:color="000000" w:sz="8" w:space="0"/>
              <w:bottom w:val="single" w:color="000000" w:sz="4" w:space="0"/>
              <w:right w:val="single" w:color="000000" w:sz="8" w:space="0"/>
            </w:tcBorders>
            <w:shd w:val="clear" w:color="000000" w:fill="FFFFFF"/>
            <w:vAlign w:val="center"/>
          </w:tcPr>
          <w:p>
            <w:pPr>
              <w:widowControl/>
              <w:jc w:val="center"/>
              <w:rPr>
                <w:color w:val="00B050"/>
                <w:sz w:val="24"/>
              </w:rPr>
            </w:pPr>
            <w:r>
              <w:rPr>
                <w:rFonts w:hint="eastAsia"/>
                <w:color w:val="00B050"/>
                <w:sz w:val="24"/>
              </w:rPr>
              <w:t>第XX章</w:t>
            </w:r>
            <w:r>
              <w:rPr>
                <w:rFonts w:hint="eastAsia" w:ascii="宋体" w:hAnsi="宋体"/>
                <w:color w:val="00B050"/>
                <w:sz w:val="24"/>
              </w:rPr>
              <w:t>……</w:t>
            </w: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子目号</w:t>
            </w:r>
          </w:p>
        </w:tc>
        <w:tc>
          <w:tcPr>
            <w:tcW w:w="402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子目名称</w:t>
            </w: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单位</w:t>
            </w:r>
          </w:p>
        </w:tc>
        <w:tc>
          <w:tcPr>
            <w:tcW w:w="112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数量</w:t>
            </w:r>
          </w:p>
        </w:tc>
        <w:tc>
          <w:tcPr>
            <w:tcW w:w="112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单价</w:t>
            </w:r>
          </w:p>
        </w:tc>
        <w:tc>
          <w:tcPr>
            <w:tcW w:w="1120" w:type="dxa"/>
            <w:tcBorders>
              <w:top w:val="nil"/>
              <w:left w:val="nil"/>
              <w:bottom w:val="single" w:color="000000" w:sz="4" w:space="0"/>
              <w:right w:val="single" w:color="000000" w:sz="8" w:space="0"/>
            </w:tcBorders>
            <w:shd w:val="clear" w:color="000000" w:fill="FFFFFF"/>
            <w:vAlign w:val="center"/>
          </w:tcPr>
          <w:p>
            <w:pPr>
              <w:widowControl/>
              <w:jc w:val="center"/>
              <w:rPr>
                <w:color w:val="00B050"/>
                <w:sz w:val="24"/>
              </w:rPr>
            </w:pPr>
            <w:r>
              <w:rPr>
                <w:rFonts w:hint="eastAsia"/>
                <w:color w:val="00B050"/>
                <w:sz w:val="24"/>
              </w:rPr>
              <w:t>合价</w:t>
            </w: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420"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p>
        </w:tc>
      </w:tr>
      <w:tr>
        <w:tblPrEx>
          <w:tblCellMar>
            <w:top w:w="0" w:type="dxa"/>
            <w:left w:w="108" w:type="dxa"/>
            <w:bottom w:w="0" w:type="dxa"/>
            <w:right w:w="108" w:type="dxa"/>
          </w:tblCellMar>
        </w:tblPrEx>
        <w:trPr>
          <w:trHeight w:val="255" w:hRule="atLeast"/>
        </w:trPr>
        <w:tc>
          <w:tcPr>
            <w:tcW w:w="94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　</w:t>
            </w:r>
          </w:p>
        </w:tc>
        <w:tc>
          <w:tcPr>
            <w:tcW w:w="4020" w:type="dxa"/>
            <w:tcBorders>
              <w:top w:val="nil"/>
              <w:left w:val="nil"/>
              <w:bottom w:val="single" w:color="000000" w:sz="4" w:space="0"/>
              <w:right w:val="single" w:color="000000" w:sz="4" w:space="0"/>
            </w:tcBorders>
            <w:shd w:val="clear" w:color="000000" w:fill="FFFFFF"/>
            <w:vAlign w:val="center"/>
          </w:tcPr>
          <w:p>
            <w:pPr>
              <w:widowControl/>
              <w:jc w:val="left"/>
              <w:rPr>
                <w:color w:val="00B050"/>
                <w:sz w:val="24"/>
              </w:rPr>
            </w:pPr>
            <w:r>
              <w:rPr>
                <w:rFonts w:hint="eastAsia"/>
                <w:color w:val="00B050"/>
                <w:sz w:val="24"/>
              </w:rPr>
              <w:t>　</w:t>
            </w:r>
          </w:p>
        </w:tc>
        <w:tc>
          <w:tcPr>
            <w:tcW w:w="760" w:type="dxa"/>
            <w:tcBorders>
              <w:top w:val="nil"/>
              <w:left w:val="nil"/>
              <w:bottom w:val="single" w:color="000000" w:sz="4" w:space="0"/>
              <w:right w:val="single" w:color="000000" w:sz="4" w:space="0"/>
            </w:tcBorders>
            <w:shd w:val="clear" w:color="000000" w:fill="FFFFFF"/>
            <w:vAlign w:val="center"/>
          </w:tcPr>
          <w:p>
            <w:pPr>
              <w:widowControl/>
              <w:jc w:val="center"/>
              <w:rPr>
                <w:color w:val="00B050"/>
                <w:sz w:val="24"/>
              </w:rPr>
            </w:pPr>
            <w:r>
              <w:rPr>
                <w:rFonts w:hint="eastAsia"/>
                <w:color w:val="00B050"/>
                <w:sz w:val="24"/>
              </w:rPr>
              <w:t>　</w:t>
            </w: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r>
              <w:rPr>
                <w:color w:val="00B050"/>
                <w:sz w:val="24"/>
              </w:rPr>
              <w:t>　</w:t>
            </w:r>
          </w:p>
        </w:tc>
        <w:tc>
          <w:tcPr>
            <w:tcW w:w="1120" w:type="dxa"/>
            <w:tcBorders>
              <w:top w:val="nil"/>
              <w:left w:val="nil"/>
              <w:bottom w:val="single" w:color="000000" w:sz="4" w:space="0"/>
              <w:right w:val="single" w:color="000000" w:sz="4" w:space="0"/>
            </w:tcBorders>
            <w:shd w:val="clear" w:color="000000" w:fill="FFFFFF"/>
            <w:vAlign w:val="center"/>
          </w:tcPr>
          <w:p>
            <w:pPr>
              <w:widowControl/>
              <w:jc w:val="right"/>
              <w:rPr>
                <w:color w:val="00B050"/>
                <w:sz w:val="24"/>
              </w:rPr>
            </w:pPr>
            <w:r>
              <w:rPr>
                <w:color w:val="00B050"/>
                <w:sz w:val="24"/>
              </w:rPr>
              <w:t>　</w:t>
            </w: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color w:val="00B050"/>
                <w:sz w:val="24"/>
              </w:rPr>
            </w:pPr>
            <w:r>
              <w:rPr>
                <w:color w:val="00B050"/>
                <w:sz w:val="24"/>
              </w:rPr>
              <w:t>　</w:t>
            </w:r>
          </w:p>
        </w:tc>
      </w:tr>
      <w:tr>
        <w:tblPrEx>
          <w:tblCellMar>
            <w:top w:w="0" w:type="dxa"/>
            <w:left w:w="108" w:type="dxa"/>
            <w:bottom w:w="0" w:type="dxa"/>
            <w:right w:w="108" w:type="dxa"/>
          </w:tblCellMar>
        </w:tblPrEx>
        <w:trPr>
          <w:trHeight w:val="255" w:hRule="atLeast"/>
        </w:trPr>
        <w:tc>
          <w:tcPr>
            <w:tcW w:w="9080" w:type="dxa"/>
            <w:gridSpan w:val="6"/>
            <w:tcBorders>
              <w:top w:val="nil"/>
              <w:left w:val="single" w:color="000000" w:sz="8" w:space="0"/>
              <w:bottom w:val="single" w:color="000000" w:sz="8" w:space="0"/>
              <w:right w:val="single" w:color="000000" w:sz="8" w:space="0"/>
            </w:tcBorders>
            <w:shd w:val="clear" w:color="000000" w:fill="FFFFFF"/>
            <w:vAlign w:val="center"/>
          </w:tcPr>
          <w:p>
            <w:pPr>
              <w:widowControl/>
              <w:jc w:val="center"/>
              <w:rPr>
                <w:color w:val="00B050"/>
                <w:sz w:val="24"/>
              </w:rPr>
            </w:pPr>
            <w:r>
              <w:rPr>
                <w:rFonts w:hint="eastAsia"/>
                <w:color w:val="00B050"/>
                <w:sz w:val="24"/>
              </w:rPr>
              <w:t>第XX章合计人民币元</w:t>
            </w:r>
          </w:p>
        </w:tc>
      </w:tr>
    </w:tbl>
    <w:p>
      <w:pPr>
        <w:jc w:val="center"/>
        <w:rPr>
          <w:b/>
          <w:color w:val="FF0000"/>
          <w:sz w:val="44"/>
          <w:szCs w:val="44"/>
        </w:rPr>
      </w:pPr>
    </w:p>
    <w:p>
      <w:pPr>
        <w:jc w:val="center"/>
        <w:rPr>
          <w:b/>
          <w:color w:val="FF0000"/>
          <w:sz w:val="44"/>
          <w:szCs w:val="44"/>
        </w:rPr>
      </w:pPr>
    </w:p>
    <w:p>
      <w:pPr>
        <w:jc w:val="center"/>
        <w:rPr>
          <w:b/>
          <w:color w:val="FF0000"/>
          <w:sz w:val="44"/>
          <w:szCs w:val="44"/>
        </w:rPr>
      </w:pPr>
    </w:p>
    <w:p>
      <w:pPr>
        <w:jc w:val="center"/>
        <w:rPr>
          <w:b/>
          <w:color w:val="FF0000"/>
          <w:sz w:val="44"/>
          <w:szCs w:val="44"/>
        </w:rPr>
      </w:pPr>
    </w:p>
    <w:p>
      <w:pPr>
        <w:jc w:val="center"/>
        <w:rPr>
          <w:b/>
          <w:color w:val="FF0000"/>
          <w:sz w:val="44"/>
          <w:szCs w:val="44"/>
        </w:rPr>
      </w:pPr>
    </w:p>
    <w:p>
      <w:pPr>
        <w:rPr>
          <w:b/>
          <w:color w:val="FF0000"/>
          <w:sz w:val="44"/>
          <w:szCs w:val="44"/>
        </w:rPr>
        <w:sectPr>
          <w:pgSz w:w="11906" w:h="16838"/>
          <w:pgMar w:top="1440" w:right="1287" w:bottom="1440" w:left="1134" w:header="851" w:footer="992" w:gutter="0"/>
          <w:cols w:space="425" w:num="1"/>
          <w:docGrid w:type="lines" w:linePitch="312" w:charSpace="0"/>
        </w:sectPr>
      </w:pPr>
    </w:p>
    <w:tbl>
      <w:tblPr>
        <w:tblStyle w:val="49"/>
        <w:tblW w:w="14334" w:type="dxa"/>
        <w:tblInd w:w="93" w:type="dxa"/>
        <w:tblLayout w:type="autofit"/>
        <w:tblCellMar>
          <w:top w:w="0" w:type="dxa"/>
          <w:left w:w="108" w:type="dxa"/>
          <w:bottom w:w="0" w:type="dxa"/>
          <w:right w:w="108" w:type="dxa"/>
        </w:tblCellMar>
      </w:tblPr>
      <w:tblGrid>
        <w:gridCol w:w="420"/>
        <w:gridCol w:w="60"/>
        <w:gridCol w:w="803"/>
        <w:gridCol w:w="408"/>
        <w:gridCol w:w="159"/>
        <w:gridCol w:w="567"/>
        <w:gridCol w:w="121"/>
        <w:gridCol w:w="514"/>
        <w:gridCol w:w="540"/>
        <w:gridCol w:w="116"/>
        <w:gridCol w:w="424"/>
        <w:gridCol w:w="423"/>
        <w:gridCol w:w="117"/>
        <w:gridCol w:w="540"/>
        <w:gridCol w:w="190"/>
        <w:gridCol w:w="350"/>
        <w:gridCol w:w="540"/>
        <w:gridCol w:w="38"/>
        <w:gridCol w:w="502"/>
        <w:gridCol w:w="426"/>
        <w:gridCol w:w="114"/>
        <w:gridCol w:w="340"/>
        <w:gridCol w:w="346"/>
        <w:gridCol w:w="285"/>
        <w:gridCol w:w="255"/>
        <w:gridCol w:w="540"/>
        <w:gridCol w:w="133"/>
        <w:gridCol w:w="407"/>
        <w:gridCol w:w="540"/>
        <w:gridCol w:w="61"/>
        <w:gridCol w:w="479"/>
        <w:gridCol w:w="456"/>
        <w:gridCol w:w="84"/>
        <w:gridCol w:w="540"/>
        <w:gridCol w:w="368"/>
        <w:gridCol w:w="172"/>
        <w:gridCol w:w="540"/>
        <w:gridCol w:w="537"/>
        <w:gridCol w:w="455"/>
        <w:gridCol w:w="75"/>
        <w:gridCol w:w="349"/>
      </w:tblGrid>
      <w:tr>
        <w:tblPrEx>
          <w:tblCellMar>
            <w:top w:w="0" w:type="dxa"/>
            <w:left w:w="108" w:type="dxa"/>
            <w:bottom w:w="0" w:type="dxa"/>
            <w:right w:w="108" w:type="dxa"/>
          </w:tblCellMar>
        </w:tblPrEx>
        <w:trPr>
          <w:gridAfter w:val="2"/>
          <w:wAfter w:w="424" w:type="dxa"/>
          <w:trHeight w:val="624" w:hRule="atLeast"/>
        </w:trPr>
        <w:tc>
          <w:tcPr>
            <w:tcW w:w="13910" w:type="dxa"/>
            <w:gridSpan w:val="39"/>
            <w:vMerge w:val="restart"/>
            <w:tcBorders>
              <w:top w:val="nil"/>
              <w:left w:val="nil"/>
              <w:bottom w:val="nil"/>
              <w:right w:val="nil"/>
            </w:tcBorders>
            <w:shd w:val="clear" w:color="auto" w:fill="auto"/>
            <w:noWrap/>
            <w:vAlign w:val="center"/>
          </w:tcPr>
          <w:p>
            <w:pPr>
              <w:widowControl/>
              <w:jc w:val="center"/>
              <w:rPr>
                <w:rFonts w:ascii="楷体_GB2312" w:hAnsi="宋体" w:eastAsia="楷体_GB2312" w:cs="宋体"/>
                <w:b/>
                <w:bCs/>
                <w:color w:val="000000"/>
                <w:kern w:val="0"/>
                <w:sz w:val="30"/>
                <w:szCs w:val="30"/>
              </w:rPr>
            </w:pPr>
            <w:r>
              <w:rPr>
                <w:rFonts w:hint="eastAsia" w:ascii="楷体_GB2312" w:hAnsi="宋体" w:eastAsia="楷体_GB2312" w:cs="宋体"/>
                <w:b/>
                <w:bCs/>
                <w:color w:val="000000"/>
                <w:kern w:val="0"/>
                <w:sz w:val="30"/>
                <w:szCs w:val="30"/>
              </w:rPr>
              <w:t>建筑安装工程费计算表</w:t>
            </w:r>
          </w:p>
        </w:tc>
      </w:tr>
      <w:tr>
        <w:tblPrEx>
          <w:tblCellMar>
            <w:top w:w="0" w:type="dxa"/>
            <w:left w:w="108" w:type="dxa"/>
            <w:bottom w:w="0" w:type="dxa"/>
            <w:right w:w="108" w:type="dxa"/>
          </w:tblCellMar>
        </w:tblPrEx>
        <w:trPr>
          <w:gridAfter w:val="2"/>
          <w:wAfter w:w="424" w:type="dxa"/>
          <w:trHeight w:val="624" w:hRule="atLeast"/>
        </w:trPr>
        <w:tc>
          <w:tcPr>
            <w:tcW w:w="13910" w:type="dxa"/>
            <w:gridSpan w:val="39"/>
            <w:vMerge w:val="continue"/>
            <w:tcBorders>
              <w:top w:val="nil"/>
              <w:left w:val="nil"/>
              <w:bottom w:val="nil"/>
              <w:right w:val="nil"/>
            </w:tcBorders>
            <w:vAlign w:val="center"/>
          </w:tcPr>
          <w:p>
            <w:pPr>
              <w:widowControl/>
              <w:jc w:val="left"/>
              <w:rPr>
                <w:rFonts w:ascii="楷体_GB2312" w:hAnsi="宋体" w:eastAsia="楷体_GB2312" w:cs="宋体"/>
                <w:b/>
                <w:bCs/>
                <w:color w:val="000000"/>
                <w:kern w:val="0"/>
                <w:sz w:val="30"/>
                <w:szCs w:val="30"/>
              </w:rPr>
            </w:pPr>
          </w:p>
        </w:tc>
      </w:tr>
      <w:tr>
        <w:tblPrEx>
          <w:tblCellMar>
            <w:top w:w="0" w:type="dxa"/>
            <w:left w:w="108" w:type="dxa"/>
            <w:bottom w:w="0" w:type="dxa"/>
            <w:right w:w="108" w:type="dxa"/>
          </w:tblCellMar>
        </w:tblPrEx>
        <w:trPr>
          <w:gridAfter w:val="2"/>
          <w:wAfter w:w="424" w:type="dxa"/>
          <w:trHeight w:val="480" w:hRule="atLeast"/>
        </w:trPr>
        <w:tc>
          <w:tcPr>
            <w:tcW w:w="13910" w:type="dxa"/>
            <w:gridSpan w:val="39"/>
            <w:tcBorders>
              <w:top w:val="nil"/>
              <w:left w:val="nil"/>
              <w:bottom w:val="single" w:color="auto" w:sz="12" w:space="0"/>
              <w:right w:val="nil"/>
            </w:tcBorders>
            <w:shd w:val="clear" w:color="auto" w:fill="auto"/>
            <w:vAlign w:val="center"/>
          </w:tcPr>
          <w:p>
            <w:pPr>
              <w:widowControl/>
              <w:jc w:val="left"/>
              <w:rPr>
                <w:rFonts w:ascii="黑体" w:hAnsi="宋体" w:eastAsia="黑体" w:cs="宋体"/>
                <w:color w:val="000000"/>
                <w:kern w:val="0"/>
                <w:sz w:val="20"/>
                <w:szCs w:val="20"/>
              </w:rPr>
            </w:pPr>
            <w:r>
              <w:rPr>
                <w:rFonts w:hint="eastAsia" w:ascii="黑体" w:hAnsi="宋体" w:eastAsia="黑体" w:cs="宋体"/>
                <w:color w:val="000000"/>
                <w:kern w:val="0"/>
                <w:sz w:val="20"/>
                <w:szCs w:val="20"/>
              </w:rPr>
              <w:t>工程名称：</w:t>
            </w:r>
          </w:p>
        </w:tc>
      </w:tr>
      <w:tr>
        <w:tblPrEx>
          <w:tblCellMar>
            <w:top w:w="0" w:type="dxa"/>
            <w:left w:w="108" w:type="dxa"/>
            <w:bottom w:w="0" w:type="dxa"/>
            <w:right w:w="108" w:type="dxa"/>
          </w:tblCellMar>
        </w:tblPrEx>
        <w:trPr>
          <w:gridAfter w:val="2"/>
          <w:wAfter w:w="424" w:type="dxa"/>
          <w:trHeight w:val="345" w:hRule="atLeast"/>
        </w:trPr>
        <w:tc>
          <w:tcPr>
            <w:tcW w:w="420" w:type="dxa"/>
            <w:vMerge w:val="restart"/>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序号</w:t>
            </w:r>
          </w:p>
        </w:tc>
        <w:tc>
          <w:tcPr>
            <w:tcW w:w="1271"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工程名称</w:t>
            </w:r>
          </w:p>
        </w:tc>
        <w:tc>
          <w:tcPr>
            <w:tcW w:w="847"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单位</w:t>
            </w:r>
          </w:p>
        </w:tc>
        <w:tc>
          <w:tcPr>
            <w:tcW w:w="1170"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工程量</w:t>
            </w:r>
          </w:p>
        </w:tc>
        <w:tc>
          <w:tcPr>
            <w:tcW w:w="5563" w:type="dxa"/>
            <w:gridSpan w:val="17"/>
            <w:tcBorders>
              <w:top w:val="single" w:color="auto" w:sz="12" w:space="0"/>
              <w:left w:val="nil"/>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直接费（元）</w:t>
            </w:r>
          </w:p>
        </w:tc>
        <w:tc>
          <w:tcPr>
            <w:tcW w:w="1008"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间接费</w:t>
            </w:r>
            <w:r>
              <w:rPr>
                <w:rFonts w:hint="eastAsia" w:ascii="黑体" w:hAnsi="宋体" w:eastAsia="黑体" w:cs="宋体"/>
                <w:color w:val="000000"/>
                <w:kern w:val="0"/>
                <w:sz w:val="20"/>
                <w:szCs w:val="20"/>
              </w:rPr>
              <w:br w:type="textWrapping"/>
            </w:r>
            <w:r>
              <w:rPr>
                <w:rFonts w:hint="eastAsia" w:ascii="黑体" w:hAnsi="宋体" w:eastAsia="黑体" w:cs="宋体"/>
                <w:color w:val="000000"/>
                <w:kern w:val="0"/>
                <w:sz w:val="20"/>
                <w:szCs w:val="20"/>
              </w:rPr>
              <w:t>（元）</w:t>
            </w:r>
          </w:p>
        </w:tc>
        <w:tc>
          <w:tcPr>
            <w:tcW w:w="935"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利润</w:t>
            </w:r>
            <w:r>
              <w:rPr>
                <w:rFonts w:hint="eastAsia" w:ascii="黑体" w:hAnsi="宋体" w:eastAsia="黑体" w:cs="宋体"/>
                <w:color w:val="000000"/>
                <w:kern w:val="0"/>
                <w:sz w:val="20"/>
                <w:szCs w:val="20"/>
              </w:rPr>
              <w:br w:type="textWrapping"/>
            </w:r>
            <w:r>
              <w:rPr>
                <w:rFonts w:hint="eastAsia" w:ascii="黑体" w:hAnsi="宋体" w:eastAsia="黑体" w:cs="宋体"/>
                <w:color w:val="000000"/>
                <w:kern w:val="0"/>
                <w:sz w:val="20"/>
                <w:szCs w:val="20"/>
              </w:rPr>
              <w:t>（元）</w:t>
            </w:r>
            <w:r>
              <w:rPr>
                <w:rFonts w:hint="eastAsia" w:ascii="黑体" w:hAnsi="宋体" w:eastAsia="黑体" w:cs="宋体"/>
                <w:color w:val="000000"/>
                <w:kern w:val="0"/>
                <w:sz w:val="20"/>
                <w:szCs w:val="20"/>
              </w:rPr>
              <w:br w:type="textWrapping"/>
            </w:r>
            <w:r>
              <w:rPr>
                <w:rFonts w:hint="eastAsia" w:ascii="黑体" w:hAnsi="宋体" w:eastAsia="黑体" w:cs="宋体"/>
                <w:color w:val="000000"/>
                <w:kern w:val="0"/>
                <w:sz w:val="20"/>
                <w:szCs w:val="20"/>
              </w:rPr>
              <w:t>费率</w:t>
            </w:r>
            <w:r>
              <w:rPr>
                <w:rFonts w:hint="eastAsia" w:ascii="黑体" w:hAnsi="宋体" w:eastAsia="黑体" w:cs="宋体"/>
                <w:color w:val="000000"/>
                <w:kern w:val="0"/>
                <w:sz w:val="20"/>
                <w:szCs w:val="20"/>
              </w:rPr>
              <w:br w:type="textWrapping"/>
            </w:r>
            <w:r>
              <w:rPr>
                <w:rFonts w:hint="eastAsia" w:ascii="黑体" w:hAnsi="宋体" w:eastAsia="黑体" w:cs="宋体"/>
                <w:color w:val="000000"/>
                <w:kern w:val="0"/>
                <w:sz w:val="20"/>
                <w:szCs w:val="20"/>
              </w:rPr>
              <w:t>%</w:t>
            </w:r>
          </w:p>
        </w:tc>
        <w:tc>
          <w:tcPr>
            <w:tcW w:w="992"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税金</w:t>
            </w:r>
            <w:r>
              <w:rPr>
                <w:rFonts w:hint="eastAsia" w:ascii="黑体" w:hAnsi="宋体" w:eastAsia="黑体" w:cs="宋体"/>
                <w:color w:val="000000"/>
                <w:kern w:val="0"/>
                <w:sz w:val="20"/>
                <w:szCs w:val="20"/>
              </w:rPr>
              <w:br w:type="textWrapping"/>
            </w:r>
            <w:r>
              <w:rPr>
                <w:rFonts w:hint="eastAsia" w:ascii="黑体" w:hAnsi="宋体" w:eastAsia="黑体" w:cs="宋体"/>
                <w:color w:val="000000"/>
                <w:kern w:val="0"/>
                <w:sz w:val="20"/>
                <w:szCs w:val="20"/>
              </w:rPr>
              <w:t>（元）</w:t>
            </w:r>
            <w:r>
              <w:rPr>
                <w:rFonts w:hint="eastAsia" w:ascii="黑体" w:hAnsi="宋体" w:eastAsia="黑体" w:cs="宋体"/>
                <w:color w:val="000000"/>
                <w:kern w:val="0"/>
                <w:sz w:val="20"/>
                <w:szCs w:val="20"/>
              </w:rPr>
              <w:br w:type="textWrapping"/>
            </w:r>
            <w:r>
              <w:rPr>
                <w:rFonts w:hint="eastAsia" w:ascii="黑体" w:hAnsi="宋体" w:eastAsia="黑体" w:cs="宋体"/>
                <w:color w:val="000000"/>
                <w:kern w:val="0"/>
                <w:sz w:val="20"/>
                <w:szCs w:val="20"/>
              </w:rPr>
              <w:t>费率</w:t>
            </w:r>
            <w:r>
              <w:rPr>
                <w:rFonts w:hint="eastAsia" w:ascii="黑体" w:hAnsi="宋体" w:eastAsia="黑体" w:cs="宋体"/>
                <w:color w:val="000000"/>
                <w:kern w:val="0"/>
                <w:sz w:val="20"/>
                <w:szCs w:val="20"/>
              </w:rPr>
              <w:br w:type="textWrapping"/>
            </w:r>
            <w:r>
              <w:rPr>
                <w:rFonts w:hint="eastAsia" w:ascii="黑体" w:hAnsi="宋体" w:eastAsia="黑体" w:cs="宋体"/>
                <w:color w:val="000000"/>
                <w:kern w:val="0"/>
                <w:sz w:val="20"/>
                <w:szCs w:val="20"/>
              </w:rPr>
              <w:t>%</w:t>
            </w:r>
          </w:p>
        </w:tc>
        <w:tc>
          <w:tcPr>
            <w:tcW w:w="1704" w:type="dxa"/>
            <w:gridSpan w:val="4"/>
            <w:tcBorders>
              <w:top w:val="single" w:color="auto" w:sz="12" w:space="0"/>
              <w:left w:val="nil"/>
              <w:bottom w:val="single" w:color="auto" w:sz="4" w:space="0"/>
              <w:right w:val="single" w:color="000000" w:sz="12"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建筑安装工程费</w:t>
            </w:r>
          </w:p>
        </w:tc>
      </w:tr>
      <w:tr>
        <w:tblPrEx>
          <w:tblCellMar>
            <w:top w:w="0" w:type="dxa"/>
            <w:left w:w="108" w:type="dxa"/>
            <w:bottom w:w="0" w:type="dxa"/>
            <w:right w:w="108" w:type="dxa"/>
          </w:tblCellMar>
        </w:tblPrEx>
        <w:trPr>
          <w:gridAfter w:val="2"/>
          <w:wAfter w:w="424" w:type="dxa"/>
          <w:trHeight w:val="345" w:hRule="atLeast"/>
        </w:trPr>
        <w:tc>
          <w:tcPr>
            <w:tcW w:w="420" w:type="dxa"/>
            <w:vMerge w:val="continue"/>
            <w:tcBorders>
              <w:top w:val="nil"/>
              <w:left w:val="single" w:color="auto" w:sz="12"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1271"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847"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117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3550" w:type="dxa"/>
            <w:gridSpan w:val="10"/>
            <w:tcBorders>
              <w:top w:val="single" w:color="auto" w:sz="4" w:space="0"/>
              <w:left w:val="nil"/>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直接工程费（元）</w:t>
            </w:r>
          </w:p>
        </w:tc>
        <w:tc>
          <w:tcPr>
            <w:tcW w:w="1085" w:type="dxa"/>
            <w:gridSpan w:val="4"/>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其他</w:t>
            </w:r>
            <w:r>
              <w:rPr>
                <w:rFonts w:hint="eastAsia" w:ascii="黑体" w:hAnsi="宋体" w:eastAsia="黑体" w:cs="宋体"/>
                <w:color w:val="000000"/>
                <w:kern w:val="0"/>
                <w:sz w:val="20"/>
                <w:szCs w:val="20"/>
              </w:rPr>
              <w:br w:type="textWrapping"/>
            </w:r>
            <w:r>
              <w:rPr>
                <w:rFonts w:hint="eastAsia" w:ascii="黑体" w:hAnsi="宋体" w:eastAsia="黑体" w:cs="宋体"/>
                <w:color w:val="000000"/>
                <w:kern w:val="0"/>
                <w:sz w:val="20"/>
                <w:szCs w:val="20"/>
              </w:rPr>
              <w:t>工程费</w:t>
            </w:r>
          </w:p>
        </w:tc>
        <w:tc>
          <w:tcPr>
            <w:tcW w:w="928"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合计</w:t>
            </w:r>
          </w:p>
        </w:tc>
        <w:tc>
          <w:tcPr>
            <w:tcW w:w="100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93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992"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712"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合计(元)</w:t>
            </w:r>
          </w:p>
        </w:tc>
        <w:tc>
          <w:tcPr>
            <w:tcW w:w="992" w:type="dxa"/>
            <w:gridSpan w:val="2"/>
            <w:vMerge w:val="restart"/>
            <w:tcBorders>
              <w:top w:val="nil"/>
              <w:left w:val="single" w:color="auto" w:sz="4" w:space="0"/>
              <w:bottom w:val="single" w:color="auto" w:sz="4" w:space="0"/>
              <w:right w:val="single" w:color="auto" w:sz="12"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单价(元)</w:t>
            </w:r>
          </w:p>
        </w:tc>
      </w:tr>
      <w:tr>
        <w:tblPrEx>
          <w:tblCellMar>
            <w:top w:w="0" w:type="dxa"/>
            <w:left w:w="108" w:type="dxa"/>
            <w:bottom w:w="0" w:type="dxa"/>
            <w:right w:w="108" w:type="dxa"/>
          </w:tblCellMar>
        </w:tblPrEx>
        <w:trPr>
          <w:gridAfter w:val="2"/>
          <w:wAfter w:w="424" w:type="dxa"/>
          <w:trHeight w:val="465" w:hRule="atLeast"/>
        </w:trPr>
        <w:tc>
          <w:tcPr>
            <w:tcW w:w="420" w:type="dxa"/>
            <w:vMerge w:val="continue"/>
            <w:tcBorders>
              <w:top w:val="nil"/>
              <w:left w:val="single" w:color="auto" w:sz="12"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1271"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847"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117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847" w:type="dxa"/>
            <w:gridSpan w:val="2"/>
            <w:tcBorders>
              <w:top w:val="nil"/>
              <w:left w:val="nil"/>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人工费</w:t>
            </w:r>
          </w:p>
        </w:tc>
        <w:tc>
          <w:tcPr>
            <w:tcW w:w="847" w:type="dxa"/>
            <w:gridSpan w:val="3"/>
            <w:tcBorders>
              <w:top w:val="nil"/>
              <w:left w:val="nil"/>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材料费</w:t>
            </w:r>
          </w:p>
        </w:tc>
        <w:tc>
          <w:tcPr>
            <w:tcW w:w="928" w:type="dxa"/>
            <w:gridSpan w:val="3"/>
            <w:tcBorders>
              <w:top w:val="nil"/>
              <w:left w:val="nil"/>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机械</w:t>
            </w:r>
            <w:r>
              <w:rPr>
                <w:rFonts w:hint="eastAsia" w:ascii="黑体" w:hAnsi="宋体" w:eastAsia="黑体" w:cs="宋体"/>
                <w:color w:val="000000"/>
                <w:kern w:val="0"/>
                <w:sz w:val="20"/>
                <w:szCs w:val="20"/>
              </w:rPr>
              <w:br w:type="textWrapping"/>
            </w:r>
            <w:r>
              <w:rPr>
                <w:rFonts w:hint="eastAsia" w:ascii="黑体" w:hAnsi="宋体" w:eastAsia="黑体" w:cs="宋体"/>
                <w:color w:val="000000"/>
                <w:kern w:val="0"/>
                <w:sz w:val="20"/>
                <w:szCs w:val="20"/>
              </w:rPr>
              <w:t>使用费</w:t>
            </w:r>
          </w:p>
        </w:tc>
        <w:tc>
          <w:tcPr>
            <w:tcW w:w="928" w:type="dxa"/>
            <w:gridSpan w:val="2"/>
            <w:tcBorders>
              <w:top w:val="nil"/>
              <w:left w:val="nil"/>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合计</w:t>
            </w:r>
          </w:p>
        </w:tc>
        <w:tc>
          <w:tcPr>
            <w:tcW w:w="1085" w:type="dxa"/>
            <w:gridSpan w:val="4"/>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92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1008"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93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992"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712"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992" w:type="dxa"/>
            <w:gridSpan w:val="2"/>
            <w:vMerge w:val="continue"/>
            <w:tcBorders>
              <w:top w:val="nil"/>
              <w:left w:val="single" w:color="auto" w:sz="4" w:space="0"/>
              <w:bottom w:val="single" w:color="auto" w:sz="4" w:space="0"/>
              <w:right w:val="single" w:color="auto" w:sz="12" w:space="0"/>
            </w:tcBorders>
            <w:vAlign w:val="center"/>
          </w:tcPr>
          <w:p>
            <w:pPr>
              <w:widowControl/>
              <w:jc w:val="left"/>
              <w:rPr>
                <w:rFonts w:ascii="黑体" w:hAnsi="宋体" w:eastAsia="黑体" w:cs="宋体"/>
                <w:color w:val="000000"/>
                <w:kern w:val="0"/>
                <w:sz w:val="20"/>
                <w:szCs w:val="20"/>
              </w:rPr>
            </w:pP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gridAfter w:val="2"/>
          <w:wAfter w:w="424" w:type="dxa"/>
          <w:trHeight w:val="300" w:hRule="atLeast"/>
        </w:trPr>
        <w:tc>
          <w:tcPr>
            <w:tcW w:w="420" w:type="dxa"/>
            <w:tcBorders>
              <w:top w:val="nil"/>
              <w:left w:val="single" w:color="auto" w:sz="12"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271"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170"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847"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85" w:type="dxa"/>
            <w:gridSpan w:val="4"/>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2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1008"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35"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3"/>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712" w:type="dxa"/>
            <w:gridSpan w:val="2"/>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c>
          <w:tcPr>
            <w:tcW w:w="992" w:type="dxa"/>
            <w:gridSpan w:val="2"/>
            <w:tcBorders>
              <w:top w:val="nil"/>
              <w:left w:val="nil"/>
              <w:bottom w:val="single" w:color="auto" w:sz="4" w:space="0"/>
              <w:right w:val="single" w:color="auto" w:sz="12" w:space="0"/>
            </w:tcBorders>
            <w:shd w:val="clear" w:color="auto" w:fill="auto"/>
            <w:noWrap/>
            <w:vAlign w:val="bottom"/>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624" w:hRule="atLeast"/>
        </w:trPr>
        <w:tc>
          <w:tcPr>
            <w:tcW w:w="14334" w:type="dxa"/>
            <w:gridSpan w:val="41"/>
            <w:vMerge w:val="restart"/>
            <w:tcBorders>
              <w:top w:val="nil"/>
              <w:left w:val="nil"/>
              <w:bottom w:val="nil"/>
              <w:right w:val="nil"/>
            </w:tcBorders>
            <w:shd w:val="clear" w:color="auto" w:fill="auto"/>
            <w:noWrap/>
            <w:vAlign w:val="center"/>
          </w:tcPr>
          <w:p>
            <w:pPr>
              <w:widowControl/>
              <w:jc w:val="center"/>
              <w:rPr>
                <w:rFonts w:ascii="楷体_GB2312" w:hAnsi="宋体" w:eastAsia="楷体_GB2312" w:cs="宋体"/>
                <w:b/>
                <w:bCs/>
                <w:color w:val="000000"/>
                <w:kern w:val="0"/>
                <w:sz w:val="30"/>
                <w:szCs w:val="30"/>
              </w:rPr>
            </w:pPr>
            <w:r>
              <w:rPr>
                <w:rFonts w:hint="eastAsia" w:ascii="楷体_GB2312" w:hAnsi="宋体" w:eastAsia="楷体_GB2312" w:cs="宋体"/>
                <w:b/>
                <w:bCs/>
                <w:color w:val="000000"/>
                <w:kern w:val="0"/>
                <w:sz w:val="30"/>
                <w:szCs w:val="30"/>
              </w:rPr>
              <w:t>其他工程费及间接费综合费率计算表</w:t>
            </w:r>
          </w:p>
        </w:tc>
      </w:tr>
      <w:tr>
        <w:tblPrEx>
          <w:tblCellMar>
            <w:top w:w="0" w:type="dxa"/>
            <w:left w:w="108" w:type="dxa"/>
            <w:bottom w:w="0" w:type="dxa"/>
            <w:right w:w="108" w:type="dxa"/>
          </w:tblCellMar>
        </w:tblPrEx>
        <w:trPr>
          <w:trHeight w:val="624" w:hRule="atLeast"/>
        </w:trPr>
        <w:tc>
          <w:tcPr>
            <w:tcW w:w="14334" w:type="dxa"/>
            <w:gridSpan w:val="41"/>
            <w:vMerge w:val="continue"/>
            <w:tcBorders>
              <w:top w:val="nil"/>
              <w:left w:val="nil"/>
              <w:bottom w:val="nil"/>
              <w:right w:val="nil"/>
            </w:tcBorders>
            <w:vAlign w:val="center"/>
          </w:tcPr>
          <w:p>
            <w:pPr>
              <w:widowControl/>
              <w:jc w:val="left"/>
              <w:rPr>
                <w:rFonts w:ascii="楷体_GB2312" w:hAnsi="宋体" w:eastAsia="楷体_GB2312" w:cs="宋体"/>
                <w:b/>
                <w:bCs/>
                <w:color w:val="000000"/>
                <w:kern w:val="0"/>
                <w:sz w:val="30"/>
                <w:szCs w:val="30"/>
              </w:rPr>
            </w:pPr>
          </w:p>
        </w:tc>
      </w:tr>
      <w:tr>
        <w:tblPrEx>
          <w:tblCellMar>
            <w:top w:w="0" w:type="dxa"/>
            <w:left w:w="108" w:type="dxa"/>
            <w:bottom w:w="0" w:type="dxa"/>
            <w:right w:w="108" w:type="dxa"/>
          </w:tblCellMar>
        </w:tblPrEx>
        <w:trPr>
          <w:trHeight w:val="480" w:hRule="atLeast"/>
        </w:trPr>
        <w:tc>
          <w:tcPr>
            <w:tcW w:w="14334" w:type="dxa"/>
            <w:gridSpan w:val="41"/>
            <w:tcBorders>
              <w:top w:val="nil"/>
              <w:left w:val="nil"/>
              <w:bottom w:val="single" w:color="auto" w:sz="12" w:space="0"/>
              <w:right w:val="nil"/>
            </w:tcBorders>
            <w:shd w:val="clear" w:color="auto" w:fill="auto"/>
            <w:vAlign w:val="center"/>
          </w:tcPr>
          <w:p>
            <w:pPr>
              <w:widowControl/>
              <w:jc w:val="left"/>
              <w:rPr>
                <w:rFonts w:ascii="黑体" w:hAnsi="宋体" w:eastAsia="黑体" w:cs="宋体"/>
                <w:color w:val="000000"/>
                <w:kern w:val="0"/>
                <w:sz w:val="20"/>
                <w:szCs w:val="20"/>
              </w:rPr>
            </w:pPr>
            <w:r>
              <w:rPr>
                <w:rFonts w:hint="eastAsia" w:ascii="黑体" w:hAnsi="宋体" w:eastAsia="黑体" w:cs="宋体"/>
                <w:color w:val="000000"/>
                <w:kern w:val="0"/>
                <w:sz w:val="20"/>
                <w:szCs w:val="20"/>
              </w:rPr>
              <w:t>工程名称：</w:t>
            </w:r>
          </w:p>
        </w:tc>
      </w:tr>
      <w:tr>
        <w:tblPrEx>
          <w:tblCellMar>
            <w:top w:w="0" w:type="dxa"/>
            <w:left w:w="108" w:type="dxa"/>
            <w:bottom w:w="0" w:type="dxa"/>
            <w:right w:w="108" w:type="dxa"/>
          </w:tblCellMar>
        </w:tblPrEx>
        <w:trPr>
          <w:trHeight w:val="345" w:hRule="atLeast"/>
        </w:trPr>
        <w:tc>
          <w:tcPr>
            <w:tcW w:w="480" w:type="dxa"/>
            <w:gridSpan w:val="2"/>
            <w:vMerge w:val="restart"/>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序号</w:t>
            </w:r>
          </w:p>
        </w:tc>
        <w:tc>
          <w:tcPr>
            <w:tcW w:w="8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工程类别</w:t>
            </w:r>
          </w:p>
        </w:tc>
        <w:tc>
          <w:tcPr>
            <w:tcW w:w="6775" w:type="dxa"/>
            <w:gridSpan w:val="20"/>
            <w:tcBorders>
              <w:top w:val="single" w:color="auto" w:sz="12" w:space="0"/>
              <w:left w:val="nil"/>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其他工程费费率(％)</w:t>
            </w:r>
          </w:p>
        </w:tc>
        <w:tc>
          <w:tcPr>
            <w:tcW w:w="6276" w:type="dxa"/>
            <w:gridSpan w:val="18"/>
            <w:tcBorders>
              <w:top w:val="single" w:color="auto" w:sz="12" w:space="0"/>
              <w:left w:val="nil"/>
              <w:bottom w:val="single" w:color="auto" w:sz="4" w:space="0"/>
              <w:right w:val="single" w:color="000000" w:sz="12" w:space="0"/>
            </w:tcBorders>
            <w:shd w:val="clear" w:color="auto" w:fill="auto"/>
            <w:vAlign w:val="center"/>
          </w:tcPr>
          <w:p>
            <w:pPr>
              <w:widowControl/>
              <w:jc w:val="center"/>
              <w:rPr>
                <w:rFonts w:ascii="黑体" w:hAnsi="宋体" w:eastAsia="黑体" w:cs="宋体"/>
                <w:color w:val="000000"/>
                <w:kern w:val="0"/>
                <w:sz w:val="20"/>
                <w:szCs w:val="20"/>
              </w:rPr>
            </w:pPr>
            <w:r>
              <w:rPr>
                <w:rFonts w:hint="eastAsia" w:ascii="黑体" w:hAnsi="宋体" w:eastAsia="黑体" w:cs="宋体"/>
                <w:color w:val="000000"/>
                <w:kern w:val="0"/>
                <w:sz w:val="20"/>
                <w:szCs w:val="20"/>
              </w:rPr>
              <w:t>间接费费率（％）</w:t>
            </w:r>
          </w:p>
        </w:tc>
      </w:tr>
      <w:tr>
        <w:tblPrEx>
          <w:tblCellMar>
            <w:top w:w="0" w:type="dxa"/>
            <w:left w:w="108" w:type="dxa"/>
            <w:bottom w:w="0" w:type="dxa"/>
            <w:right w:w="108" w:type="dxa"/>
          </w:tblCellMar>
        </w:tblPrEx>
        <w:trPr>
          <w:trHeight w:val="345" w:hRule="atLeast"/>
        </w:trPr>
        <w:tc>
          <w:tcPr>
            <w:tcW w:w="480" w:type="dxa"/>
            <w:gridSpan w:val="2"/>
            <w:vMerge w:val="continue"/>
            <w:tcBorders>
              <w:top w:val="nil"/>
              <w:left w:val="single" w:color="auto" w:sz="12"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803" w:type="dxa"/>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567" w:type="dxa"/>
            <w:gridSpan w:val="2"/>
            <w:vMerge w:val="restart"/>
            <w:tcBorders>
              <w:top w:val="single" w:color="auto" w:sz="12" w:space="0"/>
              <w:left w:val="single" w:color="auto" w:sz="12" w:space="0"/>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冬季施工增加费</w:t>
            </w:r>
          </w:p>
        </w:tc>
        <w:tc>
          <w:tcPr>
            <w:tcW w:w="56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雨季施工增加费</w:t>
            </w:r>
          </w:p>
        </w:tc>
        <w:tc>
          <w:tcPr>
            <w:tcW w:w="635"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夜间施工增加费</w:t>
            </w:r>
          </w:p>
        </w:tc>
        <w:tc>
          <w:tcPr>
            <w:tcW w:w="54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高原地区施工增加费</w:t>
            </w:r>
          </w:p>
        </w:tc>
        <w:tc>
          <w:tcPr>
            <w:tcW w:w="540"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风沙地区施工增加费</w:t>
            </w:r>
          </w:p>
        </w:tc>
        <w:tc>
          <w:tcPr>
            <w:tcW w:w="540"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沿海地区施工增加费</w:t>
            </w:r>
          </w:p>
        </w:tc>
        <w:tc>
          <w:tcPr>
            <w:tcW w:w="54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行车干扰工程施工增加费</w:t>
            </w:r>
          </w:p>
        </w:tc>
        <w:tc>
          <w:tcPr>
            <w:tcW w:w="540"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安全及文明施工措施费</w:t>
            </w:r>
          </w:p>
        </w:tc>
        <w:tc>
          <w:tcPr>
            <w:tcW w:w="54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临时设施费</w:t>
            </w:r>
          </w:p>
        </w:tc>
        <w:tc>
          <w:tcPr>
            <w:tcW w:w="540"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施工辅助费</w:t>
            </w:r>
          </w:p>
        </w:tc>
        <w:tc>
          <w:tcPr>
            <w:tcW w:w="540"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工地转移费</w:t>
            </w:r>
          </w:p>
        </w:tc>
        <w:tc>
          <w:tcPr>
            <w:tcW w:w="686"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综合费率</w:t>
            </w:r>
          </w:p>
        </w:tc>
        <w:tc>
          <w:tcPr>
            <w:tcW w:w="3240" w:type="dxa"/>
            <w:gridSpan w:val="10"/>
            <w:tcBorders>
              <w:top w:val="single" w:color="auto" w:sz="4" w:space="0"/>
              <w:left w:val="nil"/>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规费</w:t>
            </w:r>
          </w:p>
        </w:tc>
        <w:tc>
          <w:tcPr>
            <w:tcW w:w="3036" w:type="dxa"/>
            <w:gridSpan w:val="8"/>
            <w:tcBorders>
              <w:top w:val="single" w:color="auto" w:sz="4" w:space="0"/>
              <w:left w:val="nil"/>
              <w:bottom w:val="single" w:color="auto" w:sz="4" w:space="0"/>
              <w:right w:val="single" w:color="000000" w:sz="12" w:space="0"/>
            </w:tcBorders>
            <w:shd w:val="clear" w:color="auto" w:fill="auto"/>
            <w:vAlign w:val="center"/>
          </w:tcPr>
          <w:p>
            <w:pPr>
              <w:widowControl/>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企业管理费</w:t>
            </w:r>
          </w:p>
        </w:tc>
      </w:tr>
      <w:tr>
        <w:tblPrEx>
          <w:tblCellMar>
            <w:top w:w="0" w:type="dxa"/>
            <w:left w:w="108" w:type="dxa"/>
            <w:bottom w:w="0" w:type="dxa"/>
            <w:right w:w="108" w:type="dxa"/>
          </w:tblCellMar>
        </w:tblPrEx>
        <w:trPr>
          <w:trHeight w:val="621" w:hRule="atLeast"/>
        </w:trPr>
        <w:tc>
          <w:tcPr>
            <w:tcW w:w="480" w:type="dxa"/>
            <w:gridSpan w:val="2"/>
            <w:vMerge w:val="continue"/>
            <w:tcBorders>
              <w:top w:val="nil"/>
              <w:left w:val="single" w:color="auto" w:sz="12"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803" w:type="dxa"/>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20"/>
                <w:szCs w:val="20"/>
              </w:rPr>
            </w:pPr>
          </w:p>
        </w:tc>
        <w:tc>
          <w:tcPr>
            <w:tcW w:w="567" w:type="dxa"/>
            <w:gridSpan w:val="2"/>
            <w:vMerge w:val="continue"/>
            <w:tcBorders>
              <w:top w:val="single" w:color="auto" w:sz="12" w:space="0"/>
              <w:left w:val="single" w:color="auto" w:sz="12" w:space="0"/>
              <w:bottom w:val="single" w:color="auto" w:sz="4" w:space="0"/>
              <w:right w:val="single" w:color="auto" w:sz="4" w:space="0"/>
            </w:tcBorders>
            <w:vAlign w:val="center"/>
          </w:tcPr>
          <w:p>
            <w:pPr>
              <w:widowControl/>
              <w:jc w:val="left"/>
              <w:rPr>
                <w:rFonts w:ascii="黑体" w:hAnsi="宋体" w:eastAsia="黑体" w:cs="宋体"/>
                <w:color w:val="000000"/>
                <w:kern w:val="0"/>
                <w:sz w:val="13"/>
                <w:szCs w:val="13"/>
              </w:rPr>
            </w:pPr>
          </w:p>
        </w:tc>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13"/>
                <w:szCs w:val="13"/>
              </w:rPr>
            </w:pPr>
          </w:p>
        </w:tc>
        <w:tc>
          <w:tcPr>
            <w:tcW w:w="63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13"/>
                <w:szCs w:val="13"/>
              </w:rPr>
            </w:pPr>
          </w:p>
        </w:tc>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13"/>
                <w:szCs w:val="13"/>
              </w:rPr>
            </w:pPr>
          </w:p>
        </w:tc>
        <w:tc>
          <w:tcPr>
            <w:tcW w:w="54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13"/>
                <w:szCs w:val="13"/>
              </w:rPr>
            </w:pPr>
          </w:p>
        </w:tc>
        <w:tc>
          <w:tcPr>
            <w:tcW w:w="54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13"/>
                <w:szCs w:val="13"/>
              </w:rPr>
            </w:pPr>
          </w:p>
        </w:tc>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13"/>
                <w:szCs w:val="13"/>
              </w:rPr>
            </w:pPr>
          </w:p>
        </w:tc>
        <w:tc>
          <w:tcPr>
            <w:tcW w:w="54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13"/>
                <w:szCs w:val="13"/>
              </w:rPr>
            </w:pPr>
          </w:p>
        </w:tc>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13"/>
                <w:szCs w:val="13"/>
              </w:rPr>
            </w:pPr>
          </w:p>
        </w:tc>
        <w:tc>
          <w:tcPr>
            <w:tcW w:w="54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13"/>
                <w:szCs w:val="13"/>
              </w:rPr>
            </w:pPr>
          </w:p>
        </w:tc>
        <w:tc>
          <w:tcPr>
            <w:tcW w:w="54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黑体" w:hAnsi="宋体" w:eastAsia="黑体" w:cs="宋体"/>
                <w:color w:val="000000"/>
                <w:kern w:val="0"/>
                <w:sz w:val="13"/>
                <w:szCs w:val="13"/>
              </w:rPr>
            </w:pPr>
          </w:p>
        </w:tc>
        <w:tc>
          <w:tcPr>
            <w:tcW w:w="340" w:type="dxa"/>
            <w:tcBorders>
              <w:top w:val="nil"/>
              <w:left w:val="nil"/>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I</w:t>
            </w:r>
          </w:p>
        </w:tc>
        <w:tc>
          <w:tcPr>
            <w:tcW w:w="346" w:type="dxa"/>
            <w:tcBorders>
              <w:top w:val="nil"/>
              <w:left w:val="nil"/>
              <w:bottom w:val="single" w:color="auto" w:sz="4" w:space="0"/>
              <w:right w:val="single" w:color="auto" w:sz="4" w:space="0"/>
            </w:tcBorders>
            <w:shd w:val="clear" w:color="auto" w:fill="auto"/>
            <w:vAlign w:val="center"/>
          </w:tcPr>
          <w:p>
            <w:pPr>
              <w:widowControl/>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II</w:t>
            </w:r>
          </w:p>
        </w:tc>
        <w:tc>
          <w:tcPr>
            <w:tcW w:w="540" w:type="dxa"/>
            <w:gridSpan w:val="2"/>
            <w:tcBorders>
              <w:top w:val="nil"/>
              <w:left w:val="nil"/>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养老保险费</w:t>
            </w:r>
          </w:p>
        </w:tc>
        <w:tc>
          <w:tcPr>
            <w:tcW w:w="540" w:type="dxa"/>
            <w:tcBorders>
              <w:top w:val="nil"/>
              <w:left w:val="nil"/>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失业保险费</w:t>
            </w:r>
          </w:p>
        </w:tc>
        <w:tc>
          <w:tcPr>
            <w:tcW w:w="540" w:type="dxa"/>
            <w:gridSpan w:val="2"/>
            <w:tcBorders>
              <w:top w:val="nil"/>
              <w:left w:val="nil"/>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医疗保险费</w:t>
            </w:r>
          </w:p>
        </w:tc>
        <w:tc>
          <w:tcPr>
            <w:tcW w:w="540" w:type="dxa"/>
            <w:tcBorders>
              <w:top w:val="nil"/>
              <w:left w:val="nil"/>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住房公积金</w:t>
            </w:r>
          </w:p>
        </w:tc>
        <w:tc>
          <w:tcPr>
            <w:tcW w:w="540" w:type="dxa"/>
            <w:gridSpan w:val="2"/>
            <w:tcBorders>
              <w:top w:val="nil"/>
              <w:left w:val="nil"/>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工伤保险费</w:t>
            </w:r>
          </w:p>
        </w:tc>
        <w:tc>
          <w:tcPr>
            <w:tcW w:w="540" w:type="dxa"/>
            <w:gridSpan w:val="2"/>
            <w:tcBorders>
              <w:top w:val="nil"/>
              <w:left w:val="nil"/>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综合费率</w:t>
            </w:r>
          </w:p>
        </w:tc>
        <w:tc>
          <w:tcPr>
            <w:tcW w:w="540" w:type="dxa"/>
            <w:tcBorders>
              <w:top w:val="nil"/>
              <w:left w:val="nil"/>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基本费用</w:t>
            </w:r>
          </w:p>
        </w:tc>
        <w:tc>
          <w:tcPr>
            <w:tcW w:w="540" w:type="dxa"/>
            <w:gridSpan w:val="2"/>
            <w:tcBorders>
              <w:top w:val="nil"/>
              <w:left w:val="nil"/>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主副食运费补贴</w:t>
            </w:r>
          </w:p>
        </w:tc>
        <w:tc>
          <w:tcPr>
            <w:tcW w:w="540" w:type="dxa"/>
            <w:tcBorders>
              <w:top w:val="nil"/>
              <w:left w:val="nil"/>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职工探亲路费</w:t>
            </w:r>
          </w:p>
        </w:tc>
        <w:tc>
          <w:tcPr>
            <w:tcW w:w="537" w:type="dxa"/>
            <w:tcBorders>
              <w:top w:val="nil"/>
              <w:left w:val="nil"/>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职工取暖补贴</w:t>
            </w:r>
          </w:p>
        </w:tc>
        <w:tc>
          <w:tcPr>
            <w:tcW w:w="530" w:type="dxa"/>
            <w:gridSpan w:val="2"/>
            <w:tcBorders>
              <w:top w:val="nil"/>
              <w:left w:val="nil"/>
              <w:bottom w:val="single" w:color="auto" w:sz="4" w:space="0"/>
              <w:right w:val="single" w:color="auto" w:sz="4"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财务费用</w:t>
            </w:r>
          </w:p>
        </w:tc>
        <w:tc>
          <w:tcPr>
            <w:tcW w:w="349" w:type="dxa"/>
            <w:tcBorders>
              <w:top w:val="nil"/>
              <w:left w:val="nil"/>
              <w:bottom w:val="single" w:color="auto" w:sz="4" w:space="0"/>
              <w:right w:val="single" w:color="auto" w:sz="12" w:space="0"/>
            </w:tcBorders>
            <w:shd w:val="clear" w:color="auto" w:fill="auto"/>
            <w:vAlign w:val="center"/>
          </w:tcPr>
          <w:p>
            <w:pPr>
              <w:widowControl/>
              <w:spacing w:line="160" w:lineRule="exact"/>
              <w:jc w:val="center"/>
              <w:rPr>
                <w:rFonts w:ascii="黑体" w:hAnsi="宋体" w:eastAsia="黑体" w:cs="宋体"/>
                <w:color w:val="000000"/>
                <w:kern w:val="0"/>
                <w:sz w:val="13"/>
                <w:szCs w:val="13"/>
              </w:rPr>
            </w:pPr>
            <w:r>
              <w:rPr>
                <w:rFonts w:hint="eastAsia" w:ascii="黑体" w:hAnsi="宋体" w:eastAsia="黑体" w:cs="宋体"/>
                <w:color w:val="000000"/>
                <w:kern w:val="0"/>
                <w:sz w:val="13"/>
                <w:szCs w:val="13"/>
              </w:rPr>
              <w:t>综合费率</w:t>
            </w:r>
          </w:p>
        </w:tc>
      </w:tr>
      <w:tr>
        <w:tblPrEx>
          <w:tblCellMar>
            <w:top w:w="0" w:type="dxa"/>
            <w:left w:w="108" w:type="dxa"/>
            <w:bottom w:w="0" w:type="dxa"/>
            <w:right w:w="108" w:type="dxa"/>
          </w:tblCellMar>
        </w:tblPrEx>
        <w:trPr>
          <w:trHeight w:val="345" w:hRule="atLeast"/>
        </w:trPr>
        <w:tc>
          <w:tcPr>
            <w:tcW w:w="480" w:type="dxa"/>
            <w:gridSpan w:val="2"/>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8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635"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9" w:type="dxa"/>
            <w:tcBorders>
              <w:top w:val="nil"/>
              <w:left w:val="nil"/>
              <w:bottom w:val="single" w:color="auto" w:sz="4" w:space="0"/>
              <w:right w:val="single" w:color="auto" w:sz="12"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r>
      <w:tr>
        <w:tblPrEx>
          <w:tblCellMar>
            <w:top w:w="0" w:type="dxa"/>
            <w:left w:w="108" w:type="dxa"/>
            <w:bottom w:w="0" w:type="dxa"/>
            <w:right w:w="108" w:type="dxa"/>
          </w:tblCellMar>
        </w:tblPrEx>
        <w:trPr>
          <w:trHeight w:val="345" w:hRule="atLeast"/>
        </w:trPr>
        <w:tc>
          <w:tcPr>
            <w:tcW w:w="480" w:type="dxa"/>
            <w:gridSpan w:val="2"/>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8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635"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9" w:type="dxa"/>
            <w:tcBorders>
              <w:top w:val="nil"/>
              <w:left w:val="nil"/>
              <w:bottom w:val="single" w:color="auto" w:sz="4" w:space="0"/>
              <w:right w:val="single" w:color="auto" w:sz="12"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r>
      <w:tr>
        <w:tblPrEx>
          <w:tblCellMar>
            <w:top w:w="0" w:type="dxa"/>
            <w:left w:w="108" w:type="dxa"/>
            <w:bottom w:w="0" w:type="dxa"/>
            <w:right w:w="108" w:type="dxa"/>
          </w:tblCellMar>
        </w:tblPrEx>
        <w:trPr>
          <w:trHeight w:val="345" w:hRule="atLeast"/>
        </w:trPr>
        <w:tc>
          <w:tcPr>
            <w:tcW w:w="480" w:type="dxa"/>
            <w:gridSpan w:val="2"/>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8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635"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9" w:type="dxa"/>
            <w:tcBorders>
              <w:top w:val="nil"/>
              <w:left w:val="nil"/>
              <w:bottom w:val="single" w:color="auto" w:sz="4" w:space="0"/>
              <w:right w:val="single" w:color="auto" w:sz="12"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r>
      <w:tr>
        <w:tblPrEx>
          <w:tblCellMar>
            <w:top w:w="0" w:type="dxa"/>
            <w:left w:w="108" w:type="dxa"/>
            <w:bottom w:w="0" w:type="dxa"/>
            <w:right w:w="108" w:type="dxa"/>
          </w:tblCellMar>
        </w:tblPrEx>
        <w:trPr>
          <w:trHeight w:val="345" w:hRule="atLeast"/>
        </w:trPr>
        <w:tc>
          <w:tcPr>
            <w:tcW w:w="480" w:type="dxa"/>
            <w:gridSpan w:val="2"/>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8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635"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9" w:type="dxa"/>
            <w:tcBorders>
              <w:top w:val="nil"/>
              <w:left w:val="nil"/>
              <w:bottom w:val="single" w:color="auto" w:sz="4" w:space="0"/>
              <w:right w:val="single" w:color="auto" w:sz="12"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r>
      <w:tr>
        <w:tblPrEx>
          <w:tblCellMar>
            <w:top w:w="0" w:type="dxa"/>
            <w:left w:w="108" w:type="dxa"/>
            <w:bottom w:w="0" w:type="dxa"/>
            <w:right w:w="108" w:type="dxa"/>
          </w:tblCellMar>
        </w:tblPrEx>
        <w:trPr>
          <w:trHeight w:val="345" w:hRule="atLeast"/>
        </w:trPr>
        <w:tc>
          <w:tcPr>
            <w:tcW w:w="480" w:type="dxa"/>
            <w:gridSpan w:val="2"/>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8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635"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9" w:type="dxa"/>
            <w:tcBorders>
              <w:top w:val="nil"/>
              <w:left w:val="nil"/>
              <w:bottom w:val="single" w:color="auto" w:sz="4" w:space="0"/>
              <w:right w:val="single" w:color="auto" w:sz="12"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r>
      <w:tr>
        <w:tblPrEx>
          <w:tblCellMar>
            <w:top w:w="0" w:type="dxa"/>
            <w:left w:w="108" w:type="dxa"/>
            <w:bottom w:w="0" w:type="dxa"/>
            <w:right w:w="108" w:type="dxa"/>
          </w:tblCellMar>
        </w:tblPrEx>
        <w:trPr>
          <w:trHeight w:val="345" w:hRule="atLeast"/>
        </w:trPr>
        <w:tc>
          <w:tcPr>
            <w:tcW w:w="480" w:type="dxa"/>
            <w:gridSpan w:val="2"/>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8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635"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9" w:type="dxa"/>
            <w:tcBorders>
              <w:top w:val="nil"/>
              <w:left w:val="nil"/>
              <w:bottom w:val="single" w:color="auto" w:sz="4" w:space="0"/>
              <w:right w:val="single" w:color="auto" w:sz="12"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r>
      <w:tr>
        <w:tblPrEx>
          <w:tblCellMar>
            <w:top w:w="0" w:type="dxa"/>
            <w:left w:w="108" w:type="dxa"/>
            <w:bottom w:w="0" w:type="dxa"/>
            <w:right w:w="108" w:type="dxa"/>
          </w:tblCellMar>
        </w:tblPrEx>
        <w:trPr>
          <w:trHeight w:val="345" w:hRule="atLeast"/>
        </w:trPr>
        <w:tc>
          <w:tcPr>
            <w:tcW w:w="480" w:type="dxa"/>
            <w:gridSpan w:val="2"/>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8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635"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9" w:type="dxa"/>
            <w:tcBorders>
              <w:top w:val="nil"/>
              <w:left w:val="nil"/>
              <w:bottom w:val="single" w:color="auto" w:sz="4" w:space="0"/>
              <w:right w:val="single" w:color="auto" w:sz="12"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r>
      <w:tr>
        <w:tblPrEx>
          <w:tblCellMar>
            <w:top w:w="0" w:type="dxa"/>
            <w:left w:w="108" w:type="dxa"/>
            <w:bottom w:w="0" w:type="dxa"/>
            <w:right w:w="108" w:type="dxa"/>
          </w:tblCellMar>
        </w:tblPrEx>
        <w:trPr>
          <w:trHeight w:val="345" w:hRule="atLeast"/>
        </w:trPr>
        <w:tc>
          <w:tcPr>
            <w:tcW w:w="480" w:type="dxa"/>
            <w:gridSpan w:val="2"/>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8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635"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9" w:type="dxa"/>
            <w:tcBorders>
              <w:top w:val="nil"/>
              <w:left w:val="nil"/>
              <w:bottom w:val="single" w:color="auto" w:sz="4" w:space="0"/>
              <w:right w:val="single" w:color="auto" w:sz="12"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r>
      <w:tr>
        <w:tblPrEx>
          <w:tblCellMar>
            <w:top w:w="0" w:type="dxa"/>
            <w:left w:w="108" w:type="dxa"/>
            <w:bottom w:w="0" w:type="dxa"/>
            <w:right w:w="108" w:type="dxa"/>
          </w:tblCellMar>
        </w:tblPrEx>
        <w:trPr>
          <w:trHeight w:val="345" w:hRule="atLeast"/>
        </w:trPr>
        <w:tc>
          <w:tcPr>
            <w:tcW w:w="480" w:type="dxa"/>
            <w:gridSpan w:val="2"/>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8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635"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9" w:type="dxa"/>
            <w:tcBorders>
              <w:top w:val="nil"/>
              <w:left w:val="nil"/>
              <w:bottom w:val="single" w:color="auto" w:sz="4" w:space="0"/>
              <w:right w:val="single" w:color="auto" w:sz="12"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r>
      <w:tr>
        <w:tblPrEx>
          <w:tblCellMar>
            <w:top w:w="0" w:type="dxa"/>
            <w:left w:w="108" w:type="dxa"/>
            <w:bottom w:w="0" w:type="dxa"/>
            <w:right w:w="108" w:type="dxa"/>
          </w:tblCellMar>
        </w:tblPrEx>
        <w:trPr>
          <w:trHeight w:val="345" w:hRule="atLeast"/>
        </w:trPr>
        <w:tc>
          <w:tcPr>
            <w:tcW w:w="480" w:type="dxa"/>
            <w:gridSpan w:val="2"/>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8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635"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9" w:type="dxa"/>
            <w:tcBorders>
              <w:top w:val="nil"/>
              <w:left w:val="nil"/>
              <w:bottom w:val="single" w:color="auto" w:sz="4" w:space="0"/>
              <w:right w:val="single" w:color="auto" w:sz="12"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r>
      <w:tr>
        <w:tblPrEx>
          <w:tblCellMar>
            <w:top w:w="0" w:type="dxa"/>
            <w:left w:w="108" w:type="dxa"/>
            <w:bottom w:w="0" w:type="dxa"/>
            <w:right w:w="108" w:type="dxa"/>
          </w:tblCellMar>
        </w:tblPrEx>
        <w:trPr>
          <w:trHeight w:val="345" w:hRule="atLeast"/>
        </w:trPr>
        <w:tc>
          <w:tcPr>
            <w:tcW w:w="480" w:type="dxa"/>
            <w:gridSpan w:val="2"/>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8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635"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9" w:type="dxa"/>
            <w:tcBorders>
              <w:top w:val="nil"/>
              <w:left w:val="nil"/>
              <w:bottom w:val="single" w:color="auto" w:sz="4" w:space="0"/>
              <w:right w:val="single" w:color="auto" w:sz="12"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r>
      <w:tr>
        <w:tblPrEx>
          <w:tblCellMar>
            <w:top w:w="0" w:type="dxa"/>
            <w:left w:w="108" w:type="dxa"/>
            <w:bottom w:w="0" w:type="dxa"/>
            <w:right w:w="108" w:type="dxa"/>
          </w:tblCellMar>
        </w:tblPrEx>
        <w:trPr>
          <w:trHeight w:val="345" w:hRule="atLeast"/>
        </w:trPr>
        <w:tc>
          <w:tcPr>
            <w:tcW w:w="480" w:type="dxa"/>
            <w:gridSpan w:val="2"/>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8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635"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9" w:type="dxa"/>
            <w:tcBorders>
              <w:top w:val="nil"/>
              <w:left w:val="nil"/>
              <w:bottom w:val="single" w:color="auto" w:sz="4" w:space="0"/>
              <w:right w:val="single" w:color="auto" w:sz="12"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r>
      <w:tr>
        <w:tblPrEx>
          <w:tblCellMar>
            <w:top w:w="0" w:type="dxa"/>
            <w:left w:w="108" w:type="dxa"/>
            <w:bottom w:w="0" w:type="dxa"/>
            <w:right w:w="108" w:type="dxa"/>
          </w:tblCellMar>
        </w:tblPrEx>
        <w:trPr>
          <w:trHeight w:val="345" w:hRule="atLeast"/>
        </w:trPr>
        <w:tc>
          <w:tcPr>
            <w:tcW w:w="480" w:type="dxa"/>
            <w:gridSpan w:val="2"/>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8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6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635"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53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c>
          <w:tcPr>
            <w:tcW w:w="349" w:type="dxa"/>
            <w:tcBorders>
              <w:top w:val="nil"/>
              <w:left w:val="nil"/>
              <w:bottom w:val="single" w:color="auto" w:sz="4" w:space="0"/>
              <w:right w:val="single" w:color="auto" w:sz="12" w:space="0"/>
            </w:tcBorders>
            <w:shd w:val="clear" w:color="auto" w:fill="auto"/>
            <w:vAlign w:val="center"/>
          </w:tcPr>
          <w:p>
            <w:pPr>
              <w:widowControl/>
              <w:jc w:val="right"/>
              <w:rPr>
                <w:rFonts w:ascii="宋体" w:hAnsi="宋体" w:cs="宋体"/>
                <w:color w:val="0000FF"/>
                <w:kern w:val="0"/>
                <w:sz w:val="20"/>
                <w:szCs w:val="20"/>
              </w:rPr>
            </w:pPr>
            <w:r>
              <w:rPr>
                <w:rFonts w:hint="eastAsia" w:ascii="宋体" w:hAnsi="宋体" w:cs="宋体"/>
                <w:color w:val="0000FF"/>
                <w:kern w:val="0"/>
                <w:sz w:val="20"/>
                <w:szCs w:val="20"/>
              </w:rPr>
              <w:t>　</w:t>
            </w:r>
          </w:p>
        </w:tc>
      </w:tr>
    </w:tbl>
    <w:p>
      <w:pPr>
        <w:rPr>
          <w:b/>
          <w:color w:val="FF0000"/>
          <w:sz w:val="44"/>
          <w:szCs w:val="44"/>
        </w:rPr>
        <w:sectPr>
          <w:pgSz w:w="16838" w:h="11906" w:orient="landscape"/>
          <w:pgMar w:top="1797" w:right="1440" w:bottom="1797" w:left="1440" w:header="851" w:footer="992" w:gutter="0"/>
          <w:cols w:space="425" w:num="1"/>
          <w:docGrid w:type="linesAndChars" w:linePitch="312" w:charSpace="0"/>
        </w:sectPr>
      </w:pPr>
    </w:p>
    <w:p>
      <w:pPr>
        <w:jc w:val="center"/>
        <w:rPr>
          <w:b/>
          <w:color w:val="FF0000"/>
          <w:sz w:val="44"/>
          <w:szCs w:val="44"/>
        </w:rPr>
      </w:pPr>
      <w:r>
        <w:rPr>
          <w:rFonts w:hint="eastAsia"/>
          <w:b/>
          <w:color w:val="FF0000"/>
          <w:sz w:val="44"/>
          <w:szCs w:val="44"/>
        </w:rPr>
        <w:t>人材机单价及数量汇总表</w:t>
      </w:r>
    </w:p>
    <w:p>
      <w:pPr>
        <w:jc w:val="center"/>
        <w:rPr>
          <w:b/>
          <w:color w:val="FF0000"/>
          <w:sz w:val="44"/>
          <w:szCs w:val="44"/>
        </w:rPr>
      </w:pPr>
    </w:p>
    <w:p>
      <w:pPr>
        <w:rPr>
          <w:color w:val="FF0000"/>
          <w:sz w:val="24"/>
        </w:rPr>
      </w:pPr>
      <w:r>
        <w:rPr>
          <w:rFonts w:hint="eastAsia"/>
          <w:color w:val="FF0000"/>
          <w:sz w:val="24"/>
        </w:rPr>
        <w:t>工程名称：</w:t>
      </w:r>
      <w:r>
        <w:rPr>
          <w:rFonts w:ascii="宋体" w:hAnsi="宋体"/>
          <w:color w:val="FF0000"/>
          <w:sz w:val="24"/>
        </w:rPr>
        <w:t>第  页     共  页</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936"/>
        <w:gridCol w:w="936"/>
        <w:gridCol w:w="936"/>
        <w:gridCol w:w="936"/>
        <w:gridCol w:w="936"/>
        <w:gridCol w:w="936"/>
        <w:gridCol w:w="936"/>
        <w:gridCol w:w="936"/>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pPr>
              <w:spacing w:line="480" w:lineRule="exact"/>
              <w:jc w:val="center"/>
              <w:rPr>
                <w:color w:val="FF0000"/>
                <w:sz w:val="24"/>
              </w:rPr>
            </w:pPr>
            <w:r>
              <w:rPr>
                <w:rFonts w:hint="eastAsia"/>
                <w:color w:val="FF0000"/>
                <w:sz w:val="24"/>
              </w:rPr>
              <w:t>序号</w:t>
            </w:r>
          </w:p>
        </w:tc>
        <w:tc>
          <w:tcPr>
            <w:tcW w:w="936" w:type="dxa"/>
            <w:vMerge w:val="restart"/>
            <w:vAlign w:val="center"/>
          </w:tcPr>
          <w:p>
            <w:pPr>
              <w:spacing w:line="480" w:lineRule="exact"/>
              <w:jc w:val="center"/>
              <w:rPr>
                <w:color w:val="FF0000"/>
                <w:sz w:val="24"/>
              </w:rPr>
            </w:pPr>
            <w:r>
              <w:rPr>
                <w:rFonts w:hint="eastAsia"/>
                <w:color w:val="FF0000"/>
                <w:sz w:val="24"/>
              </w:rPr>
              <w:t>代号</w:t>
            </w:r>
          </w:p>
        </w:tc>
        <w:tc>
          <w:tcPr>
            <w:tcW w:w="936" w:type="dxa"/>
            <w:vMerge w:val="restart"/>
            <w:vAlign w:val="center"/>
          </w:tcPr>
          <w:p>
            <w:pPr>
              <w:spacing w:line="480" w:lineRule="exact"/>
              <w:jc w:val="center"/>
              <w:rPr>
                <w:color w:val="FF0000"/>
                <w:sz w:val="24"/>
              </w:rPr>
            </w:pPr>
            <w:r>
              <w:rPr>
                <w:rFonts w:hint="eastAsia"/>
                <w:color w:val="FF0000"/>
                <w:sz w:val="24"/>
              </w:rPr>
              <w:t>名称</w:t>
            </w:r>
          </w:p>
        </w:tc>
        <w:tc>
          <w:tcPr>
            <w:tcW w:w="936" w:type="dxa"/>
            <w:vMerge w:val="restart"/>
            <w:vAlign w:val="center"/>
          </w:tcPr>
          <w:p>
            <w:pPr>
              <w:spacing w:line="480" w:lineRule="exact"/>
              <w:jc w:val="center"/>
              <w:rPr>
                <w:color w:val="FF0000"/>
                <w:sz w:val="24"/>
              </w:rPr>
            </w:pPr>
            <w:r>
              <w:rPr>
                <w:rFonts w:hint="eastAsia"/>
                <w:color w:val="FF0000"/>
                <w:sz w:val="24"/>
              </w:rPr>
              <w:t>单位</w:t>
            </w:r>
          </w:p>
        </w:tc>
        <w:tc>
          <w:tcPr>
            <w:tcW w:w="936" w:type="dxa"/>
            <w:vMerge w:val="restart"/>
            <w:vAlign w:val="center"/>
          </w:tcPr>
          <w:p>
            <w:pPr>
              <w:spacing w:line="480" w:lineRule="exact"/>
              <w:jc w:val="center"/>
              <w:rPr>
                <w:color w:val="FF0000"/>
                <w:sz w:val="24"/>
              </w:rPr>
            </w:pPr>
            <w:r>
              <w:rPr>
                <w:rFonts w:hint="eastAsia"/>
                <w:color w:val="FF0000"/>
                <w:sz w:val="24"/>
              </w:rPr>
              <w:t>数量</w:t>
            </w:r>
          </w:p>
        </w:tc>
        <w:tc>
          <w:tcPr>
            <w:tcW w:w="1872" w:type="dxa"/>
            <w:gridSpan w:val="2"/>
            <w:vAlign w:val="center"/>
          </w:tcPr>
          <w:p>
            <w:pPr>
              <w:jc w:val="center"/>
              <w:rPr>
                <w:color w:val="FF0000"/>
                <w:sz w:val="24"/>
              </w:rPr>
            </w:pPr>
            <w:r>
              <w:rPr>
                <w:rFonts w:hint="eastAsia"/>
                <w:color w:val="FF0000"/>
                <w:sz w:val="24"/>
              </w:rPr>
              <w:t>定额价</w:t>
            </w:r>
          </w:p>
        </w:tc>
        <w:tc>
          <w:tcPr>
            <w:tcW w:w="1872" w:type="dxa"/>
            <w:gridSpan w:val="2"/>
            <w:vAlign w:val="center"/>
          </w:tcPr>
          <w:p>
            <w:pPr>
              <w:jc w:val="center"/>
              <w:rPr>
                <w:color w:val="FF0000"/>
                <w:sz w:val="24"/>
              </w:rPr>
            </w:pPr>
            <w:r>
              <w:rPr>
                <w:rFonts w:hint="eastAsia"/>
                <w:color w:val="FF0000"/>
                <w:sz w:val="24"/>
              </w:rPr>
              <w:t>市场价</w:t>
            </w:r>
          </w:p>
        </w:tc>
        <w:tc>
          <w:tcPr>
            <w:tcW w:w="936" w:type="dxa"/>
            <w:vMerge w:val="restart"/>
            <w:vAlign w:val="center"/>
          </w:tcPr>
          <w:p>
            <w:pPr>
              <w:spacing w:line="480" w:lineRule="exact"/>
              <w:jc w:val="center"/>
              <w:rPr>
                <w:color w:val="FF0000"/>
                <w:sz w:val="24"/>
              </w:rPr>
            </w:pPr>
            <w:r>
              <w:rPr>
                <w:rFonts w:hint="eastAsia"/>
                <w:color w:val="FF0000"/>
                <w:sz w:val="24"/>
              </w:rPr>
              <w:t>价差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pPr>
              <w:ind w:firstLine="480"/>
              <w:jc w:val="center"/>
              <w:rPr>
                <w:color w:val="FF0000"/>
                <w:sz w:val="24"/>
              </w:rPr>
            </w:pPr>
          </w:p>
        </w:tc>
        <w:tc>
          <w:tcPr>
            <w:tcW w:w="936" w:type="dxa"/>
            <w:vMerge w:val="continue"/>
            <w:vAlign w:val="center"/>
          </w:tcPr>
          <w:p>
            <w:pPr>
              <w:ind w:firstLine="480"/>
              <w:jc w:val="center"/>
              <w:rPr>
                <w:color w:val="FF0000"/>
                <w:sz w:val="24"/>
              </w:rPr>
            </w:pPr>
          </w:p>
        </w:tc>
        <w:tc>
          <w:tcPr>
            <w:tcW w:w="936" w:type="dxa"/>
            <w:vMerge w:val="continue"/>
            <w:vAlign w:val="center"/>
          </w:tcPr>
          <w:p>
            <w:pPr>
              <w:ind w:firstLine="480"/>
              <w:jc w:val="center"/>
              <w:rPr>
                <w:color w:val="FF0000"/>
                <w:sz w:val="24"/>
              </w:rPr>
            </w:pPr>
          </w:p>
        </w:tc>
        <w:tc>
          <w:tcPr>
            <w:tcW w:w="936" w:type="dxa"/>
            <w:vMerge w:val="continue"/>
            <w:vAlign w:val="center"/>
          </w:tcPr>
          <w:p>
            <w:pPr>
              <w:ind w:firstLine="480"/>
              <w:jc w:val="center"/>
              <w:rPr>
                <w:color w:val="FF0000"/>
                <w:sz w:val="24"/>
              </w:rPr>
            </w:pPr>
          </w:p>
        </w:tc>
        <w:tc>
          <w:tcPr>
            <w:tcW w:w="936" w:type="dxa"/>
            <w:vMerge w:val="continue"/>
            <w:vAlign w:val="center"/>
          </w:tcPr>
          <w:p>
            <w:pPr>
              <w:ind w:firstLine="480"/>
              <w:jc w:val="center"/>
              <w:rPr>
                <w:color w:val="FF0000"/>
                <w:sz w:val="24"/>
              </w:rPr>
            </w:pPr>
          </w:p>
        </w:tc>
        <w:tc>
          <w:tcPr>
            <w:tcW w:w="936" w:type="dxa"/>
            <w:vAlign w:val="center"/>
          </w:tcPr>
          <w:p>
            <w:pPr>
              <w:jc w:val="center"/>
              <w:rPr>
                <w:color w:val="FF0000"/>
                <w:sz w:val="24"/>
              </w:rPr>
            </w:pPr>
            <w:r>
              <w:rPr>
                <w:rFonts w:hint="eastAsia"/>
                <w:color w:val="FF0000"/>
                <w:sz w:val="24"/>
              </w:rPr>
              <w:t>单价</w:t>
            </w:r>
          </w:p>
        </w:tc>
        <w:tc>
          <w:tcPr>
            <w:tcW w:w="936" w:type="dxa"/>
            <w:vAlign w:val="center"/>
          </w:tcPr>
          <w:p>
            <w:pPr>
              <w:jc w:val="center"/>
              <w:rPr>
                <w:color w:val="FF0000"/>
                <w:sz w:val="24"/>
              </w:rPr>
            </w:pPr>
            <w:r>
              <w:rPr>
                <w:rFonts w:hint="eastAsia"/>
                <w:color w:val="FF0000"/>
                <w:sz w:val="24"/>
              </w:rPr>
              <w:t>合价</w:t>
            </w:r>
          </w:p>
        </w:tc>
        <w:tc>
          <w:tcPr>
            <w:tcW w:w="936" w:type="dxa"/>
            <w:vAlign w:val="center"/>
          </w:tcPr>
          <w:p>
            <w:pPr>
              <w:jc w:val="center"/>
              <w:rPr>
                <w:color w:val="FF0000"/>
                <w:sz w:val="24"/>
              </w:rPr>
            </w:pPr>
            <w:r>
              <w:rPr>
                <w:rFonts w:hint="eastAsia"/>
                <w:color w:val="FF0000"/>
                <w:sz w:val="24"/>
              </w:rPr>
              <w:t>单价</w:t>
            </w:r>
          </w:p>
        </w:tc>
        <w:tc>
          <w:tcPr>
            <w:tcW w:w="936" w:type="dxa"/>
            <w:vAlign w:val="center"/>
          </w:tcPr>
          <w:p>
            <w:pPr>
              <w:jc w:val="center"/>
              <w:rPr>
                <w:color w:val="FF0000"/>
                <w:sz w:val="24"/>
              </w:rPr>
            </w:pPr>
            <w:r>
              <w:rPr>
                <w:rFonts w:hint="eastAsia"/>
                <w:color w:val="FF0000"/>
                <w:sz w:val="24"/>
              </w:rPr>
              <w:t>合价</w:t>
            </w:r>
          </w:p>
        </w:tc>
        <w:tc>
          <w:tcPr>
            <w:tcW w:w="936" w:type="dxa"/>
            <w:vMerge w:val="continue"/>
            <w:vAlign w:val="center"/>
          </w:tcPr>
          <w:p>
            <w:pPr>
              <w:ind w:firstLine="480"/>
              <w:jc w:val="center"/>
              <w:rPr>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Align w:val="center"/>
          </w:tcPr>
          <w:p>
            <w:pPr>
              <w:ind w:firstLine="480"/>
              <w:jc w:val="center"/>
              <w:rPr>
                <w:color w:val="FF0000"/>
                <w:sz w:val="24"/>
              </w:rPr>
            </w:pPr>
          </w:p>
        </w:tc>
        <w:tc>
          <w:tcPr>
            <w:tcW w:w="936" w:type="dxa"/>
            <w:vAlign w:val="center"/>
          </w:tcPr>
          <w:p>
            <w:pPr>
              <w:ind w:firstLine="480"/>
              <w:jc w:val="center"/>
              <w:rPr>
                <w:color w:val="FF0000"/>
                <w:sz w:val="24"/>
              </w:rPr>
            </w:pPr>
          </w:p>
        </w:tc>
        <w:tc>
          <w:tcPr>
            <w:tcW w:w="936" w:type="dxa"/>
            <w:vAlign w:val="center"/>
          </w:tcPr>
          <w:p>
            <w:pPr>
              <w:ind w:firstLine="480"/>
              <w:jc w:val="center"/>
              <w:rPr>
                <w:color w:val="FF0000"/>
                <w:sz w:val="24"/>
              </w:rPr>
            </w:pPr>
          </w:p>
        </w:tc>
        <w:tc>
          <w:tcPr>
            <w:tcW w:w="936" w:type="dxa"/>
            <w:vAlign w:val="center"/>
          </w:tcPr>
          <w:p>
            <w:pPr>
              <w:ind w:firstLine="480"/>
              <w:jc w:val="center"/>
              <w:rPr>
                <w:color w:val="FF0000"/>
                <w:sz w:val="24"/>
              </w:rPr>
            </w:pPr>
          </w:p>
        </w:tc>
        <w:tc>
          <w:tcPr>
            <w:tcW w:w="936" w:type="dxa"/>
            <w:vAlign w:val="center"/>
          </w:tcPr>
          <w:p>
            <w:pPr>
              <w:ind w:firstLine="480"/>
              <w:jc w:val="center"/>
              <w:rPr>
                <w:color w:val="FF0000"/>
                <w:sz w:val="24"/>
              </w:rPr>
            </w:pPr>
          </w:p>
        </w:tc>
        <w:tc>
          <w:tcPr>
            <w:tcW w:w="936" w:type="dxa"/>
            <w:vAlign w:val="center"/>
          </w:tcPr>
          <w:p>
            <w:pPr>
              <w:ind w:firstLine="480"/>
              <w:jc w:val="center"/>
              <w:rPr>
                <w:color w:val="FF0000"/>
                <w:sz w:val="24"/>
              </w:rPr>
            </w:pPr>
          </w:p>
        </w:tc>
        <w:tc>
          <w:tcPr>
            <w:tcW w:w="936" w:type="dxa"/>
            <w:vAlign w:val="center"/>
          </w:tcPr>
          <w:p>
            <w:pPr>
              <w:ind w:firstLine="480"/>
              <w:jc w:val="center"/>
              <w:rPr>
                <w:color w:val="FF0000"/>
                <w:sz w:val="24"/>
              </w:rPr>
            </w:pPr>
          </w:p>
        </w:tc>
        <w:tc>
          <w:tcPr>
            <w:tcW w:w="936" w:type="dxa"/>
            <w:vAlign w:val="center"/>
          </w:tcPr>
          <w:p>
            <w:pPr>
              <w:ind w:firstLine="480"/>
              <w:jc w:val="center"/>
              <w:rPr>
                <w:color w:val="FF0000"/>
                <w:sz w:val="24"/>
              </w:rPr>
            </w:pPr>
          </w:p>
        </w:tc>
        <w:tc>
          <w:tcPr>
            <w:tcW w:w="936" w:type="dxa"/>
            <w:vAlign w:val="center"/>
          </w:tcPr>
          <w:p>
            <w:pPr>
              <w:ind w:firstLine="480"/>
              <w:jc w:val="center"/>
              <w:rPr>
                <w:color w:val="FF0000"/>
                <w:sz w:val="24"/>
              </w:rPr>
            </w:pPr>
          </w:p>
        </w:tc>
        <w:tc>
          <w:tcPr>
            <w:tcW w:w="936" w:type="dxa"/>
            <w:vAlign w:val="center"/>
          </w:tcPr>
          <w:p>
            <w:pPr>
              <w:ind w:firstLine="480"/>
              <w:jc w:val="center"/>
              <w:rPr>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c>
          <w:tcPr>
            <w:tcW w:w="936" w:type="dxa"/>
          </w:tcPr>
          <w:p>
            <w:pPr>
              <w:ind w:firstLine="883"/>
              <w:rPr>
                <w:b/>
                <w:color w:val="FF0000"/>
                <w:sz w:val="44"/>
                <w:szCs w:val="44"/>
              </w:rPr>
            </w:pPr>
          </w:p>
        </w:tc>
      </w:tr>
    </w:tbl>
    <w:p>
      <w:pPr>
        <w:tabs>
          <w:tab w:val="left" w:pos="2580"/>
        </w:tabs>
        <w:spacing w:beforeLines="20" w:afterLines="20" w:line="540" w:lineRule="exact"/>
        <w:ind w:firstLine="480"/>
        <w:rPr>
          <w:rFonts w:ascii="仿宋_GB2312" w:eastAsia="仿宋_GB2312"/>
          <w:sz w:val="24"/>
        </w:rPr>
      </w:pPr>
    </w:p>
    <w:p>
      <w:pPr>
        <w:tabs>
          <w:tab w:val="left" w:pos="2580"/>
        </w:tabs>
        <w:spacing w:beforeLines="20" w:afterLines="20" w:line="540" w:lineRule="exact"/>
        <w:ind w:firstLine="480"/>
        <w:rPr>
          <w:rFonts w:ascii="仿宋_GB2312" w:eastAsia="仿宋_GB2312"/>
          <w:sz w:val="24"/>
        </w:rPr>
      </w:pPr>
    </w:p>
    <w:p>
      <w:pPr>
        <w:tabs>
          <w:tab w:val="left" w:pos="0"/>
        </w:tabs>
        <w:spacing w:beforeLines="20" w:afterLines="20" w:line="540" w:lineRule="exact"/>
        <w:ind w:right="-212" w:firstLine="400"/>
        <w:rPr>
          <w:rFonts w:ascii="仿宋_GB2312" w:hAnsi="宋体" w:eastAsia="仿宋_GB2312"/>
          <w:sz w:val="24"/>
        </w:rPr>
      </w:pPr>
    </w:p>
    <w:p>
      <w:pPr>
        <w:tabs>
          <w:tab w:val="left" w:pos="0"/>
        </w:tabs>
        <w:spacing w:beforeLines="20" w:afterLines="20" w:line="540" w:lineRule="exact"/>
        <w:ind w:right="-212" w:firstLine="400"/>
        <w:rPr>
          <w:rFonts w:ascii="仿宋_GB2312" w:hAnsi="宋体" w:eastAsia="仿宋_GB2312"/>
          <w:sz w:val="24"/>
        </w:rPr>
      </w:pPr>
    </w:p>
    <w:p>
      <w:pPr>
        <w:tabs>
          <w:tab w:val="left" w:pos="0"/>
        </w:tabs>
        <w:spacing w:beforeLines="20" w:afterLines="20" w:line="540" w:lineRule="exact"/>
        <w:ind w:right="-212" w:firstLine="400"/>
        <w:rPr>
          <w:rFonts w:ascii="仿宋_GB2312" w:hAnsi="宋体" w:eastAsia="仿宋_GB2312"/>
          <w:sz w:val="24"/>
        </w:rPr>
      </w:pPr>
    </w:p>
    <w:p>
      <w:pPr>
        <w:tabs>
          <w:tab w:val="left" w:pos="0"/>
        </w:tabs>
        <w:spacing w:beforeLines="20" w:afterLines="20" w:line="540" w:lineRule="exact"/>
        <w:ind w:right="-212" w:firstLine="400"/>
        <w:rPr>
          <w:rFonts w:ascii="仿宋_GB2312" w:hAnsi="宋体" w:eastAsia="仿宋_GB2312"/>
          <w:sz w:val="24"/>
        </w:rPr>
      </w:pPr>
    </w:p>
    <w:p>
      <w:pPr>
        <w:tabs>
          <w:tab w:val="left" w:pos="0"/>
        </w:tabs>
        <w:spacing w:beforeLines="20" w:afterLines="20" w:line="540" w:lineRule="exact"/>
        <w:ind w:right="-212" w:firstLine="400"/>
        <w:rPr>
          <w:rFonts w:ascii="仿宋_GB2312" w:hAnsi="宋体" w:eastAsia="仿宋_GB2312"/>
          <w:sz w:val="24"/>
        </w:rPr>
      </w:pPr>
    </w:p>
    <w:p>
      <w:pPr>
        <w:tabs>
          <w:tab w:val="left" w:pos="0"/>
        </w:tabs>
        <w:spacing w:beforeLines="20" w:afterLines="20" w:line="540" w:lineRule="exact"/>
        <w:ind w:right="-212" w:firstLine="400"/>
        <w:rPr>
          <w:rFonts w:ascii="仿宋_GB2312" w:hAnsi="宋体" w:eastAsia="仿宋_GB2312"/>
          <w:sz w:val="24"/>
        </w:rPr>
      </w:pPr>
    </w:p>
    <w:p>
      <w:pPr>
        <w:tabs>
          <w:tab w:val="left" w:pos="0"/>
        </w:tabs>
        <w:spacing w:beforeLines="20" w:afterLines="20" w:line="540" w:lineRule="exact"/>
        <w:ind w:right="-212" w:firstLine="400"/>
        <w:rPr>
          <w:rFonts w:ascii="仿宋_GB2312" w:hAnsi="宋体" w:eastAsia="仿宋_GB2312"/>
          <w:sz w:val="24"/>
        </w:rPr>
      </w:pPr>
    </w:p>
    <w:p>
      <w:pPr>
        <w:tabs>
          <w:tab w:val="left" w:pos="0"/>
        </w:tabs>
        <w:spacing w:beforeLines="20" w:afterLines="20" w:line="540" w:lineRule="exact"/>
        <w:ind w:right="-212" w:firstLine="400"/>
        <w:rPr>
          <w:rFonts w:ascii="仿宋_GB2312" w:hAnsi="宋体" w:eastAsia="仿宋_GB2312"/>
          <w:sz w:val="24"/>
        </w:rPr>
      </w:pPr>
    </w:p>
    <w:p>
      <w:pPr>
        <w:tabs>
          <w:tab w:val="left" w:pos="0"/>
        </w:tabs>
        <w:spacing w:beforeLines="20" w:afterLines="20" w:line="540" w:lineRule="exact"/>
        <w:ind w:right="-212" w:firstLine="400"/>
        <w:rPr>
          <w:rFonts w:ascii="仿宋_GB2312" w:hAnsi="宋体" w:eastAsia="仿宋_GB2312"/>
          <w:sz w:val="24"/>
        </w:rPr>
      </w:pPr>
    </w:p>
    <w:tbl>
      <w:tblPr>
        <w:tblStyle w:val="49"/>
        <w:tblW w:w="9080" w:type="dxa"/>
        <w:tblInd w:w="93" w:type="dxa"/>
        <w:tblLayout w:type="autofit"/>
        <w:tblCellMar>
          <w:top w:w="0" w:type="dxa"/>
          <w:left w:w="108" w:type="dxa"/>
          <w:bottom w:w="0" w:type="dxa"/>
          <w:right w:w="108" w:type="dxa"/>
        </w:tblCellMar>
      </w:tblPr>
      <w:tblGrid>
        <w:gridCol w:w="888"/>
        <w:gridCol w:w="2200"/>
        <w:gridCol w:w="1633"/>
        <w:gridCol w:w="825"/>
        <w:gridCol w:w="1997"/>
        <w:gridCol w:w="1537"/>
      </w:tblGrid>
      <w:tr>
        <w:tblPrEx>
          <w:tblCellMar>
            <w:top w:w="0" w:type="dxa"/>
            <w:left w:w="108" w:type="dxa"/>
            <w:bottom w:w="0" w:type="dxa"/>
            <w:right w:w="108" w:type="dxa"/>
          </w:tblCellMar>
        </w:tblPrEx>
        <w:trPr>
          <w:trHeight w:val="615" w:hRule="atLeast"/>
        </w:trPr>
        <w:tc>
          <w:tcPr>
            <w:tcW w:w="8379" w:type="dxa"/>
            <w:gridSpan w:val="6"/>
            <w:tcBorders>
              <w:top w:val="nil"/>
              <w:left w:val="nil"/>
              <w:bottom w:val="nil"/>
              <w:right w:val="nil"/>
            </w:tcBorders>
            <w:shd w:val="clear" w:color="auto" w:fill="auto"/>
            <w:noWrap/>
            <w:vAlign w:val="center"/>
          </w:tcPr>
          <w:p>
            <w:pPr>
              <w:widowControl/>
              <w:jc w:val="center"/>
              <w:rPr>
                <w:rFonts w:ascii="楷体_GB2312" w:hAnsi="宋体" w:eastAsia="楷体_GB2312" w:cs="宋体"/>
                <w:b/>
                <w:bCs/>
                <w:color w:val="00B050"/>
                <w:kern w:val="0"/>
                <w:sz w:val="34"/>
                <w:szCs w:val="34"/>
              </w:rPr>
            </w:pPr>
            <w:r>
              <w:rPr>
                <w:rFonts w:hint="eastAsia"/>
                <w:b/>
                <w:color w:val="00B050"/>
                <w:sz w:val="44"/>
                <w:szCs w:val="44"/>
              </w:rPr>
              <w:t>需评审的材料表</w:t>
            </w:r>
          </w:p>
        </w:tc>
      </w:tr>
      <w:tr>
        <w:tblPrEx>
          <w:tblCellMar>
            <w:top w:w="0" w:type="dxa"/>
            <w:left w:w="108" w:type="dxa"/>
            <w:bottom w:w="0" w:type="dxa"/>
            <w:right w:w="108" w:type="dxa"/>
          </w:tblCellMar>
        </w:tblPrEx>
        <w:trPr>
          <w:trHeight w:val="300" w:hRule="atLeast"/>
        </w:trPr>
        <w:tc>
          <w:tcPr>
            <w:tcW w:w="8379" w:type="dxa"/>
            <w:gridSpan w:val="6"/>
            <w:tcBorders>
              <w:top w:val="nil"/>
              <w:left w:val="nil"/>
              <w:bottom w:val="nil"/>
              <w:right w:val="nil"/>
            </w:tcBorders>
            <w:shd w:val="clear" w:color="auto" w:fill="auto"/>
            <w:vAlign w:val="center"/>
          </w:tcPr>
          <w:p>
            <w:pPr>
              <w:widowControl/>
              <w:jc w:val="left"/>
              <w:rPr>
                <w:color w:val="00B050"/>
                <w:sz w:val="24"/>
              </w:rPr>
            </w:pPr>
            <w:r>
              <w:rPr>
                <w:rFonts w:hint="eastAsia"/>
                <w:color w:val="00B050"/>
                <w:sz w:val="24"/>
              </w:rPr>
              <w:t>工程名称:</w:t>
            </w:r>
          </w:p>
        </w:tc>
      </w:tr>
      <w:tr>
        <w:tblPrEx>
          <w:tblCellMar>
            <w:top w:w="0" w:type="dxa"/>
            <w:left w:w="108" w:type="dxa"/>
            <w:bottom w:w="0" w:type="dxa"/>
            <w:right w:w="108" w:type="dxa"/>
          </w:tblCellMar>
        </w:tblPrEx>
        <w:trPr>
          <w:trHeight w:val="750" w:hRule="atLeast"/>
        </w:trPr>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序号</w:t>
            </w:r>
          </w:p>
        </w:tc>
        <w:tc>
          <w:tcPr>
            <w:tcW w:w="2030" w:type="dxa"/>
            <w:tcBorders>
              <w:top w:val="single" w:color="auto" w:sz="4" w:space="0"/>
              <w:left w:val="nil"/>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材料名称</w:t>
            </w:r>
          </w:p>
        </w:tc>
        <w:tc>
          <w:tcPr>
            <w:tcW w:w="1507" w:type="dxa"/>
            <w:tcBorders>
              <w:top w:val="single" w:color="auto" w:sz="4" w:space="0"/>
              <w:left w:val="nil"/>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规格、型号等特殊要求</w:t>
            </w:r>
          </w:p>
        </w:tc>
        <w:tc>
          <w:tcPr>
            <w:tcW w:w="761" w:type="dxa"/>
            <w:tcBorders>
              <w:top w:val="single" w:color="auto" w:sz="4" w:space="0"/>
              <w:left w:val="nil"/>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单位</w:t>
            </w:r>
          </w:p>
        </w:tc>
        <w:tc>
          <w:tcPr>
            <w:tcW w:w="1843" w:type="dxa"/>
            <w:tcBorders>
              <w:top w:val="single" w:color="auto" w:sz="4" w:space="0"/>
              <w:left w:val="nil"/>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总用量</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单价(元)</w:t>
            </w: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1</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nil"/>
              <w:left w:val="nil"/>
              <w:bottom w:val="single" w:color="auto" w:sz="4" w:space="0"/>
              <w:right w:val="single" w:color="auto" w:sz="4" w:space="0"/>
            </w:tcBorders>
            <w:shd w:val="clear" w:color="auto" w:fill="auto"/>
            <w:noWrap/>
            <w:vAlign w:val="bottom"/>
          </w:tcPr>
          <w:p>
            <w:pPr>
              <w:widowControl/>
              <w:jc w:val="left"/>
              <w:rPr>
                <w:color w:val="00B050"/>
                <w:sz w:val="24"/>
              </w:rPr>
            </w:pPr>
          </w:p>
        </w:tc>
        <w:tc>
          <w:tcPr>
            <w:tcW w:w="761"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2</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nil"/>
              <w:left w:val="nil"/>
              <w:bottom w:val="single" w:color="auto" w:sz="4" w:space="0"/>
              <w:right w:val="single" w:color="auto" w:sz="4" w:space="0"/>
            </w:tcBorders>
            <w:shd w:val="clear" w:color="auto" w:fill="auto"/>
            <w:noWrap/>
            <w:vAlign w:val="bottom"/>
          </w:tcPr>
          <w:p>
            <w:pPr>
              <w:widowControl/>
              <w:jc w:val="left"/>
              <w:rPr>
                <w:color w:val="00B050"/>
                <w:sz w:val="24"/>
              </w:rPr>
            </w:pPr>
          </w:p>
        </w:tc>
        <w:tc>
          <w:tcPr>
            <w:tcW w:w="761"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3</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nil"/>
              <w:left w:val="nil"/>
              <w:bottom w:val="single" w:color="auto" w:sz="4" w:space="0"/>
              <w:right w:val="single" w:color="auto" w:sz="4" w:space="0"/>
            </w:tcBorders>
            <w:shd w:val="clear" w:color="auto" w:fill="auto"/>
            <w:noWrap/>
            <w:vAlign w:val="bottom"/>
          </w:tcPr>
          <w:p>
            <w:pPr>
              <w:widowControl/>
              <w:jc w:val="left"/>
              <w:rPr>
                <w:color w:val="00B050"/>
                <w:sz w:val="24"/>
              </w:rPr>
            </w:pPr>
          </w:p>
        </w:tc>
        <w:tc>
          <w:tcPr>
            <w:tcW w:w="761"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4</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nil"/>
              <w:left w:val="nil"/>
              <w:bottom w:val="single" w:color="auto" w:sz="4" w:space="0"/>
              <w:right w:val="single" w:color="auto" w:sz="4" w:space="0"/>
            </w:tcBorders>
            <w:shd w:val="clear" w:color="auto" w:fill="auto"/>
            <w:noWrap/>
            <w:vAlign w:val="bottom"/>
          </w:tcPr>
          <w:p>
            <w:pPr>
              <w:widowControl/>
              <w:jc w:val="left"/>
              <w:rPr>
                <w:color w:val="00B050"/>
                <w:sz w:val="24"/>
              </w:rPr>
            </w:pPr>
          </w:p>
        </w:tc>
        <w:tc>
          <w:tcPr>
            <w:tcW w:w="761"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5</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nil"/>
              <w:left w:val="nil"/>
              <w:bottom w:val="single" w:color="auto" w:sz="4" w:space="0"/>
              <w:right w:val="single" w:color="auto" w:sz="4" w:space="0"/>
            </w:tcBorders>
            <w:shd w:val="clear" w:color="auto" w:fill="auto"/>
            <w:noWrap/>
            <w:vAlign w:val="bottom"/>
          </w:tcPr>
          <w:p>
            <w:pPr>
              <w:widowControl/>
              <w:jc w:val="left"/>
              <w:rPr>
                <w:color w:val="00B050"/>
                <w:sz w:val="24"/>
              </w:rPr>
            </w:pPr>
          </w:p>
        </w:tc>
        <w:tc>
          <w:tcPr>
            <w:tcW w:w="761"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6</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nil"/>
              <w:left w:val="nil"/>
              <w:bottom w:val="single" w:color="auto" w:sz="4" w:space="0"/>
              <w:right w:val="single" w:color="auto" w:sz="4" w:space="0"/>
            </w:tcBorders>
            <w:shd w:val="clear" w:color="auto" w:fill="auto"/>
            <w:noWrap/>
            <w:vAlign w:val="bottom"/>
          </w:tcPr>
          <w:p>
            <w:pPr>
              <w:widowControl/>
              <w:jc w:val="left"/>
              <w:rPr>
                <w:color w:val="00B050"/>
                <w:sz w:val="24"/>
              </w:rPr>
            </w:pPr>
          </w:p>
        </w:tc>
        <w:tc>
          <w:tcPr>
            <w:tcW w:w="761"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7</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nil"/>
              <w:left w:val="nil"/>
              <w:bottom w:val="nil"/>
              <w:right w:val="single" w:color="auto" w:sz="4" w:space="0"/>
            </w:tcBorders>
            <w:shd w:val="clear" w:color="auto" w:fill="auto"/>
            <w:noWrap/>
            <w:vAlign w:val="bottom"/>
          </w:tcPr>
          <w:p>
            <w:pPr>
              <w:widowControl/>
              <w:jc w:val="left"/>
              <w:rPr>
                <w:color w:val="00B050"/>
                <w:sz w:val="24"/>
              </w:rPr>
            </w:pPr>
          </w:p>
        </w:tc>
        <w:tc>
          <w:tcPr>
            <w:tcW w:w="761" w:type="dxa"/>
            <w:tcBorders>
              <w:top w:val="nil"/>
              <w:left w:val="nil"/>
              <w:bottom w:val="nil"/>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nil"/>
              <w:right w:val="single" w:color="000000" w:sz="4" w:space="0"/>
            </w:tcBorders>
            <w:shd w:val="clear" w:color="auto" w:fill="auto"/>
            <w:vAlign w:val="center"/>
          </w:tcPr>
          <w:p>
            <w:pPr>
              <w:widowControl/>
              <w:jc w:val="left"/>
              <w:rPr>
                <w:color w:val="00B050"/>
                <w:sz w:val="24"/>
              </w:rPr>
            </w:pPr>
          </w:p>
        </w:tc>
        <w:tc>
          <w:tcPr>
            <w:tcW w:w="1418" w:type="dxa"/>
            <w:tcBorders>
              <w:top w:val="nil"/>
              <w:left w:val="nil"/>
              <w:bottom w:val="nil"/>
              <w:right w:val="single" w:color="000000"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8</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single" w:color="auto" w:sz="4" w:space="0"/>
              <w:left w:val="nil"/>
              <w:bottom w:val="nil"/>
              <w:right w:val="single" w:color="auto" w:sz="4" w:space="0"/>
            </w:tcBorders>
            <w:shd w:val="clear" w:color="auto" w:fill="auto"/>
            <w:noWrap/>
            <w:vAlign w:val="bottom"/>
          </w:tcPr>
          <w:p>
            <w:pPr>
              <w:widowControl/>
              <w:jc w:val="left"/>
              <w:rPr>
                <w:color w:val="00B050"/>
                <w:sz w:val="24"/>
              </w:rPr>
            </w:pPr>
          </w:p>
        </w:tc>
        <w:tc>
          <w:tcPr>
            <w:tcW w:w="761" w:type="dxa"/>
            <w:tcBorders>
              <w:top w:val="single" w:color="auto" w:sz="4" w:space="0"/>
              <w:left w:val="nil"/>
              <w:bottom w:val="nil"/>
              <w:right w:val="single" w:color="auto" w:sz="4" w:space="0"/>
            </w:tcBorders>
            <w:shd w:val="clear" w:color="auto" w:fill="auto"/>
            <w:vAlign w:val="center"/>
          </w:tcPr>
          <w:p>
            <w:pPr>
              <w:widowControl/>
              <w:jc w:val="left"/>
              <w:rPr>
                <w:color w:val="00B050"/>
                <w:sz w:val="24"/>
              </w:rPr>
            </w:pPr>
          </w:p>
        </w:tc>
        <w:tc>
          <w:tcPr>
            <w:tcW w:w="1843" w:type="dxa"/>
            <w:tcBorders>
              <w:top w:val="single" w:color="auto" w:sz="4" w:space="0"/>
              <w:left w:val="nil"/>
              <w:bottom w:val="single" w:color="auto" w:sz="4" w:space="0"/>
              <w:right w:val="single" w:color="auto" w:sz="4" w:space="0"/>
            </w:tcBorders>
            <w:shd w:val="clear" w:color="auto" w:fill="auto"/>
            <w:vAlign w:val="center"/>
          </w:tcPr>
          <w:p>
            <w:pPr>
              <w:widowControl/>
              <w:jc w:val="left"/>
              <w:rPr>
                <w:color w:val="00B050"/>
                <w:sz w:val="24"/>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9</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single" w:color="auto" w:sz="4" w:space="0"/>
              <w:left w:val="nil"/>
              <w:bottom w:val="nil"/>
              <w:right w:val="single" w:color="auto" w:sz="4" w:space="0"/>
            </w:tcBorders>
            <w:shd w:val="clear" w:color="auto" w:fill="auto"/>
            <w:noWrap/>
            <w:vAlign w:val="bottom"/>
          </w:tcPr>
          <w:p>
            <w:pPr>
              <w:widowControl/>
              <w:jc w:val="left"/>
              <w:rPr>
                <w:color w:val="00B050"/>
                <w:sz w:val="24"/>
              </w:rPr>
            </w:pPr>
          </w:p>
        </w:tc>
        <w:tc>
          <w:tcPr>
            <w:tcW w:w="761" w:type="dxa"/>
            <w:tcBorders>
              <w:top w:val="single" w:color="auto" w:sz="4" w:space="0"/>
              <w:left w:val="nil"/>
              <w:bottom w:val="nil"/>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10</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color w:val="00B050"/>
                <w:sz w:val="24"/>
              </w:rPr>
            </w:pPr>
          </w:p>
        </w:tc>
        <w:tc>
          <w:tcPr>
            <w:tcW w:w="761" w:type="dxa"/>
            <w:tcBorders>
              <w:top w:val="single" w:color="auto" w:sz="4" w:space="0"/>
              <w:left w:val="nil"/>
              <w:bottom w:val="single" w:color="auto" w:sz="4" w:space="0"/>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11</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nil"/>
              <w:left w:val="nil"/>
              <w:bottom w:val="single" w:color="auto" w:sz="4" w:space="0"/>
              <w:right w:val="single" w:color="auto" w:sz="4" w:space="0"/>
            </w:tcBorders>
            <w:shd w:val="clear" w:color="auto" w:fill="auto"/>
            <w:noWrap/>
            <w:vAlign w:val="center"/>
          </w:tcPr>
          <w:p>
            <w:pPr>
              <w:widowControl/>
              <w:jc w:val="left"/>
              <w:rPr>
                <w:color w:val="00B050"/>
                <w:sz w:val="24"/>
              </w:rPr>
            </w:pPr>
          </w:p>
        </w:tc>
        <w:tc>
          <w:tcPr>
            <w:tcW w:w="761"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12</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nil"/>
              <w:left w:val="nil"/>
              <w:bottom w:val="single" w:color="auto" w:sz="4" w:space="0"/>
              <w:right w:val="single" w:color="auto" w:sz="4" w:space="0"/>
            </w:tcBorders>
            <w:shd w:val="clear" w:color="auto" w:fill="auto"/>
            <w:noWrap/>
            <w:vAlign w:val="center"/>
          </w:tcPr>
          <w:p>
            <w:pPr>
              <w:widowControl/>
              <w:jc w:val="left"/>
              <w:rPr>
                <w:color w:val="00B050"/>
                <w:sz w:val="24"/>
              </w:rPr>
            </w:pPr>
          </w:p>
        </w:tc>
        <w:tc>
          <w:tcPr>
            <w:tcW w:w="761"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13</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nil"/>
              <w:left w:val="nil"/>
              <w:bottom w:val="single" w:color="auto" w:sz="4" w:space="0"/>
              <w:right w:val="single" w:color="auto" w:sz="4" w:space="0"/>
            </w:tcBorders>
            <w:shd w:val="clear" w:color="auto" w:fill="auto"/>
            <w:noWrap/>
            <w:vAlign w:val="center"/>
          </w:tcPr>
          <w:p>
            <w:pPr>
              <w:widowControl/>
              <w:jc w:val="left"/>
              <w:rPr>
                <w:color w:val="00B050"/>
                <w:sz w:val="24"/>
              </w:rPr>
            </w:pPr>
          </w:p>
        </w:tc>
        <w:tc>
          <w:tcPr>
            <w:tcW w:w="761"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14</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nil"/>
              <w:left w:val="nil"/>
              <w:bottom w:val="single" w:color="auto" w:sz="4" w:space="0"/>
              <w:right w:val="single" w:color="auto" w:sz="4" w:space="0"/>
            </w:tcBorders>
            <w:shd w:val="clear" w:color="auto" w:fill="auto"/>
            <w:noWrap/>
            <w:vAlign w:val="center"/>
          </w:tcPr>
          <w:p>
            <w:pPr>
              <w:widowControl/>
              <w:jc w:val="left"/>
              <w:rPr>
                <w:color w:val="00B050"/>
                <w:sz w:val="24"/>
              </w:rPr>
            </w:pPr>
          </w:p>
        </w:tc>
        <w:tc>
          <w:tcPr>
            <w:tcW w:w="761"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r>
      <w:tr>
        <w:tblPrEx>
          <w:tblCellMar>
            <w:top w:w="0" w:type="dxa"/>
            <w:left w:w="108" w:type="dxa"/>
            <w:bottom w:w="0" w:type="dxa"/>
            <w:right w:w="108" w:type="dxa"/>
          </w:tblCellMar>
        </w:tblPrEx>
        <w:trPr>
          <w:trHeight w:val="420" w:hRule="atLeast"/>
        </w:trPr>
        <w:tc>
          <w:tcPr>
            <w:tcW w:w="82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B050"/>
                <w:sz w:val="24"/>
              </w:rPr>
            </w:pPr>
            <w:r>
              <w:rPr>
                <w:rFonts w:hint="eastAsia"/>
                <w:color w:val="00B050"/>
                <w:sz w:val="24"/>
              </w:rPr>
              <w:t>15</w:t>
            </w:r>
          </w:p>
        </w:tc>
        <w:tc>
          <w:tcPr>
            <w:tcW w:w="2030"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c>
          <w:tcPr>
            <w:tcW w:w="1507" w:type="dxa"/>
            <w:tcBorders>
              <w:top w:val="nil"/>
              <w:left w:val="nil"/>
              <w:bottom w:val="single" w:color="auto" w:sz="4" w:space="0"/>
              <w:right w:val="single" w:color="auto" w:sz="4" w:space="0"/>
            </w:tcBorders>
            <w:shd w:val="clear" w:color="auto" w:fill="auto"/>
            <w:noWrap/>
            <w:vAlign w:val="center"/>
          </w:tcPr>
          <w:p>
            <w:pPr>
              <w:widowControl/>
              <w:jc w:val="left"/>
              <w:rPr>
                <w:color w:val="00B050"/>
                <w:sz w:val="24"/>
              </w:rPr>
            </w:pPr>
          </w:p>
        </w:tc>
        <w:tc>
          <w:tcPr>
            <w:tcW w:w="761"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843" w:type="dxa"/>
            <w:tcBorders>
              <w:top w:val="nil"/>
              <w:left w:val="nil"/>
              <w:bottom w:val="single" w:color="auto" w:sz="4" w:space="0"/>
              <w:right w:val="single" w:color="auto" w:sz="4" w:space="0"/>
            </w:tcBorders>
            <w:shd w:val="clear" w:color="auto" w:fill="auto"/>
            <w:vAlign w:val="center"/>
          </w:tcPr>
          <w:p>
            <w:pPr>
              <w:widowControl/>
              <w:jc w:val="left"/>
              <w:rPr>
                <w:color w:val="00B050"/>
                <w:sz w:val="24"/>
              </w:rPr>
            </w:pPr>
          </w:p>
        </w:tc>
        <w:tc>
          <w:tcPr>
            <w:tcW w:w="1418" w:type="dxa"/>
            <w:tcBorders>
              <w:top w:val="nil"/>
              <w:left w:val="nil"/>
              <w:bottom w:val="single" w:color="000000" w:sz="4" w:space="0"/>
              <w:right w:val="single" w:color="000000" w:sz="4" w:space="0"/>
            </w:tcBorders>
            <w:shd w:val="clear" w:color="auto" w:fill="auto"/>
            <w:vAlign w:val="center"/>
          </w:tcPr>
          <w:p>
            <w:pPr>
              <w:widowControl/>
              <w:jc w:val="left"/>
              <w:rPr>
                <w:color w:val="00B050"/>
                <w:sz w:val="24"/>
              </w:rPr>
            </w:pPr>
          </w:p>
        </w:tc>
      </w:tr>
    </w:tbl>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p>
      <w:pPr>
        <w:rPr>
          <w:color w:val="00B050"/>
          <w:sz w:val="24"/>
        </w:rPr>
      </w:pPr>
    </w:p>
    <w:tbl>
      <w:tblPr>
        <w:tblStyle w:val="49"/>
        <w:tblW w:w="9120" w:type="dxa"/>
        <w:tblInd w:w="93" w:type="dxa"/>
        <w:tblLayout w:type="autofit"/>
        <w:tblCellMar>
          <w:top w:w="0" w:type="dxa"/>
          <w:left w:w="108" w:type="dxa"/>
          <w:bottom w:w="0" w:type="dxa"/>
          <w:right w:w="108" w:type="dxa"/>
        </w:tblCellMar>
      </w:tblPr>
      <w:tblGrid>
        <w:gridCol w:w="460"/>
        <w:gridCol w:w="3000"/>
        <w:gridCol w:w="2200"/>
        <w:gridCol w:w="1040"/>
        <w:gridCol w:w="1300"/>
        <w:gridCol w:w="1120"/>
      </w:tblGrid>
      <w:tr>
        <w:tblPrEx>
          <w:tblCellMar>
            <w:top w:w="0" w:type="dxa"/>
            <w:left w:w="108" w:type="dxa"/>
            <w:bottom w:w="0" w:type="dxa"/>
            <w:right w:w="108" w:type="dxa"/>
          </w:tblCellMar>
        </w:tblPrEx>
        <w:trPr>
          <w:trHeight w:val="559" w:hRule="atLeast"/>
        </w:trPr>
        <w:tc>
          <w:tcPr>
            <w:tcW w:w="9120" w:type="dxa"/>
            <w:gridSpan w:val="6"/>
            <w:tcBorders>
              <w:top w:val="nil"/>
              <w:left w:val="nil"/>
              <w:bottom w:val="nil"/>
              <w:right w:val="nil"/>
            </w:tcBorders>
            <w:shd w:val="clear" w:color="000000" w:fill="FFFFFF"/>
          </w:tcPr>
          <w:p>
            <w:pPr>
              <w:widowControl/>
              <w:jc w:val="center"/>
              <w:rPr>
                <w:rFonts w:ascii="宋体" w:hAnsi="宋体" w:cs="Arial"/>
                <w:b/>
                <w:bCs/>
                <w:color w:val="000000"/>
                <w:kern w:val="0"/>
                <w:sz w:val="36"/>
                <w:szCs w:val="36"/>
              </w:rPr>
            </w:pPr>
            <w:r>
              <w:rPr>
                <w:rFonts w:hint="eastAsia" w:ascii="宋体" w:hAnsi="宋体" w:cs="Arial"/>
                <w:b/>
                <w:bCs/>
                <w:color w:val="000000"/>
                <w:kern w:val="0"/>
                <w:sz w:val="36"/>
                <w:szCs w:val="36"/>
              </w:rPr>
              <w:t>专业工程暂估价表</w:t>
            </w:r>
          </w:p>
        </w:tc>
      </w:tr>
      <w:tr>
        <w:tblPrEx>
          <w:tblCellMar>
            <w:top w:w="0" w:type="dxa"/>
            <w:left w:w="108" w:type="dxa"/>
            <w:bottom w:w="0" w:type="dxa"/>
            <w:right w:w="108" w:type="dxa"/>
          </w:tblCellMar>
        </w:tblPrEx>
        <w:trPr>
          <w:trHeight w:val="300" w:hRule="atLeast"/>
        </w:trPr>
        <w:tc>
          <w:tcPr>
            <w:tcW w:w="5660" w:type="dxa"/>
            <w:gridSpan w:val="3"/>
            <w:tcBorders>
              <w:top w:val="nil"/>
              <w:left w:val="nil"/>
              <w:bottom w:val="nil"/>
              <w:right w:val="nil"/>
            </w:tcBorders>
            <w:shd w:val="clear" w:color="000000" w:fill="FFFFFF"/>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建设项目：</w:t>
            </w:r>
          </w:p>
        </w:tc>
        <w:tc>
          <w:tcPr>
            <w:tcW w:w="3460" w:type="dxa"/>
            <w:gridSpan w:val="3"/>
            <w:tcBorders>
              <w:top w:val="nil"/>
              <w:left w:val="nil"/>
              <w:bottom w:val="nil"/>
              <w:right w:val="nil"/>
            </w:tcBorders>
            <w:shd w:val="clear" w:color="000000" w:fill="FFFFFF"/>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300" w:hRule="atLeast"/>
        </w:trPr>
        <w:tc>
          <w:tcPr>
            <w:tcW w:w="5660" w:type="dxa"/>
            <w:gridSpan w:val="3"/>
            <w:tcBorders>
              <w:top w:val="nil"/>
              <w:left w:val="nil"/>
              <w:bottom w:val="nil"/>
              <w:right w:val="nil"/>
            </w:tcBorders>
            <w:shd w:val="clear" w:color="000000" w:fill="FFFFFF"/>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编制范围：</w:t>
            </w:r>
          </w:p>
        </w:tc>
        <w:tc>
          <w:tcPr>
            <w:tcW w:w="1040" w:type="dxa"/>
            <w:tcBorders>
              <w:top w:val="nil"/>
              <w:left w:val="nil"/>
              <w:bottom w:val="nil"/>
              <w:right w:val="nil"/>
            </w:tcBorders>
            <w:shd w:val="clear" w:color="000000" w:fill="FFFFFF"/>
            <w:vAlign w:val="center"/>
          </w:tcPr>
          <w:p>
            <w:pPr>
              <w:widowControl/>
              <w:wordWrap w:val="0"/>
              <w:jc w:val="right"/>
              <w:rPr>
                <w:rFonts w:ascii="宋体" w:hAnsi="宋体" w:cs="Arial"/>
                <w:color w:val="000000"/>
                <w:kern w:val="0"/>
                <w:sz w:val="20"/>
                <w:szCs w:val="20"/>
              </w:rPr>
            </w:pPr>
            <w:r>
              <w:rPr>
                <w:rFonts w:hint="eastAsia" w:ascii="宋体" w:hAnsi="宋体" w:cs="Arial"/>
                <w:color w:val="000000"/>
                <w:kern w:val="0"/>
                <w:sz w:val="20"/>
                <w:szCs w:val="20"/>
              </w:rPr>
              <w:t>第页</w:t>
            </w:r>
          </w:p>
        </w:tc>
        <w:tc>
          <w:tcPr>
            <w:tcW w:w="1300" w:type="dxa"/>
            <w:tcBorders>
              <w:top w:val="nil"/>
              <w:left w:val="nil"/>
              <w:bottom w:val="nil"/>
              <w:right w:val="nil"/>
            </w:tcBorders>
            <w:shd w:val="clear" w:color="000000" w:fill="FFFFFF"/>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共页</w:t>
            </w:r>
          </w:p>
        </w:tc>
        <w:tc>
          <w:tcPr>
            <w:tcW w:w="1120" w:type="dxa"/>
            <w:tcBorders>
              <w:top w:val="nil"/>
              <w:left w:val="nil"/>
              <w:bottom w:val="nil"/>
              <w:right w:val="nil"/>
            </w:tcBorders>
            <w:shd w:val="clear" w:color="000000" w:fill="FFFFFF"/>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108" w:type="dxa"/>
            <w:bottom w:w="0" w:type="dxa"/>
            <w:right w:w="108" w:type="dxa"/>
          </w:tblCellMar>
        </w:tblPrEx>
        <w:trPr>
          <w:trHeight w:val="499" w:hRule="atLeast"/>
        </w:trPr>
        <w:tc>
          <w:tcPr>
            <w:tcW w:w="460" w:type="dxa"/>
            <w:tcBorders>
              <w:top w:val="single" w:color="000000" w:sz="8" w:space="0"/>
              <w:left w:val="single" w:color="000000" w:sz="8" w:space="0"/>
              <w:bottom w:val="single" w:color="000000" w:sz="4" w:space="0"/>
              <w:right w:val="single" w:color="000000" w:sz="4" w:space="0"/>
            </w:tcBorders>
            <w:shd w:val="clear" w:color="000000" w:fill="FFFFFF"/>
            <w:vAlign w:val="center"/>
          </w:tcPr>
          <w:p>
            <w:pPr>
              <w:widowControl/>
              <w:jc w:val="center"/>
              <w:rPr>
                <w:rFonts w:ascii="宋体" w:hAnsi="宋体" w:cs="Arial"/>
                <w:b/>
                <w:bCs/>
                <w:color w:val="000000"/>
                <w:kern w:val="0"/>
                <w:sz w:val="20"/>
                <w:szCs w:val="20"/>
              </w:rPr>
            </w:pPr>
            <w:r>
              <w:rPr>
                <w:rFonts w:hint="eastAsia" w:ascii="宋体" w:hAnsi="宋体" w:cs="Arial"/>
                <w:b/>
                <w:bCs/>
                <w:color w:val="000000"/>
                <w:kern w:val="0"/>
                <w:sz w:val="20"/>
                <w:szCs w:val="20"/>
              </w:rPr>
              <w:t>序号</w:t>
            </w:r>
          </w:p>
        </w:tc>
        <w:tc>
          <w:tcPr>
            <w:tcW w:w="3000" w:type="dxa"/>
            <w:tcBorders>
              <w:top w:val="single" w:color="000000" w:sz="8" w:space="0"/>
              <w:left w:val="nil"/>
              <w:bottom w:val="single" w:color="000000" w:sz="4" w:space="0"/>
              <w:right w:val="single" w:color="000000" w:sz="4" w:space="0"/>
            </w:tcBorders>
            <w:shd w:val="clear" w:color="000000" w:fill="FFFFFF"/>
            <w:vAlign w:val="center"/>
          </w:tcPr>
          <w:p>
            <w:pPr>
              <w:widowControl/>
              <w:jc w:val="center"/>
              <w:rPr>
                <w:rFonts w:ascii="宋体" w:hAnsi="宋体" w:cs="Arial"/>
                <w:b/>
                <w:bCs/>
                <w:color w:val="000000"/>
                <w:kern w:val="0"/>
                <w:sz w:val="20"/>
                <w:szCs w:val="20"/>
              </w:rPr>
            </w:pPr>
            <w:r>
              <w:rPr>
                <w:rFonts w:hint="eastAsia" w:ascii="宋体" w:hAnsi="宋体" w:cs="Arial"/>
                <w:b/>
                <w:bCs/>
                <w:color w:val="000000"/>
                <w:kern w:val="0"/>
                <w:sz w:val="20"/>
                <w:szCs w:val="20"/>
              </w:rPr>
              <w:t>专业工程名称</w:t>
            </w:r>
          </w:p>
        </w:tc>
        <w:tc>
          <w:tcPr>
            <w:tcW w:w="4540" w:type="dxa"/>
            <w:gridSpan w:val="3"/>
            <w:tcBorders>
              <w:top w:val="single" w:color="000000" w:sz="8" w:space="0"/>
              <w:left w:val="nil"/>
              <w:bottom w:val="single" w:color="000000" w:sz="4" w:space="0"/>
              <w:right w:val="single" w:color="000000" w:sz="4" w:space="0"/>
            </w:tcBorders>
            <w:shd w:val="clear" w:color="000000" w:fill="FFFFFF"/>
            <w:vAlign w:val="center"/>
          </w:tcPr>
          <w:p>
            <w:pPr>
              <w:widowControl/>
              <w:jc w:val="center"/>
              <w:rPr>
                <w:rFonts w:ascii="宋体" w:hAnsi="宋体" w:cs="Arial"/>
                <w:b/>
                <w:bCs/>
                <w:color w:val="000000"/>
                <w:kern w:val="0"/>
                <w:sz w:val="20"/>
                <w:szCs w:val="20"/>
              </w:rPr>
            </w:pPr>
            <w:r>
              <w:rPr>
                <w:rFonts w:hint="eastAsia" w:ascii="宋体" w:hAnsi="宋体" w:cs="Arial"/>
                <w:b/>
                <w:bCs/>
                <w:color w:val="000000"/>
                <w:kern w:val="0"/>
                <w:sz w:val="20"/>
                <w:szCs w:val="20"/>
              </w:rPr>
              <w:t>工程内容</w:t>
            </w:r>
          </w:p>
        </w:tc>
        <w:tc>
          <w:tcPr>
            <w:tcW w:w="1120" w:type="dxa"/>
            <w:tcBorders>
              <w:top w:val="single" w:color="000000" w:sz="8" w:space="0"/>
              <w:left w:val="nil"/>
              <w:bottom w:val="single" w:color="000000" w:sz="4" w:space="0"/>
              <w:right w:val="single" w:color="000000" w:sz="8" w:space="0"/>
            </w:tcBorders>
            <w:shd w:val="clear" w:color="000000" w:fill="FFFFFF"/>
            <w:vAlign w:val="center"/>
          </w:tcPr>
          <w:p>
            <w:pPr>
              <w:widowControl/>
              <w:jc w:val="center"/>
              <w:rPr>
                <w:rFonts w:ascii="宋体" w:hAnsi="宋体" w:cs="Arial"/>
                <w:b/>
                <w:bCs/>
                <w:color w:val="000000"/>
                <w:kern w:val="0"/>
                <w:sz w:val="20"/>
                <w:szCs w:val="20"/>
              </w:rPr>
            </w:pPr>
            <w:r>
              <w:rPr>
                <w:rFonts w:hint="eastAsia" w:ascii="宋体" w:hAnsi="宋体" w:cs="Arial"/>
                <w:b/>
                <w:bCs/>
                <w:color w:val="000000"/>
                <w:kern w:val="0"/>
                <w:sz w:val="20"/>
                <w:szCs w:val="20"/>
              </w:rPr>
              <w:t>金额</w:t>
            </w:r>
          </w:p>
        </w:tc>
      </w:tr>
      <w:tr>
        <w:tblPrEx>
          <w:tblCellMar>
            <w:top w:w="0" w:type="dxa"/>
            <w:left w:w="108" w:type="dxa"/>
            <w:bottom w:w="0" w:type="dxa"/>
            <w:right w:w="108" w:type="dxa"/>
          </w:tblCellMar>
        </w:tblPrEx>
        <w:trPr>
          <w:trHeight w:val="300" w:hRule="atLeast"/>
        </w:trPr>
        <w:tc>
          <w:tcPr>
            <w:tcW w:w="46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1</w:t>
            </w:r>
          </w:p>
        </w:tc>
        <w:tc>
          <w:tcPr>
            <w:tcW w:w="3000" w:type="dxa"/>
            <w:tcBorders>
              <w:top w:val="nil"/>
              <w:left w:val="nil"/>
              <w:bottom w:val="single" w:color="000000" w:sz="4" w:space="0"/>
              <w:right w:val="single" w:color="000000" w:sz="4" w:space="0"/>
            </w:tcBorders>
            <w:shd w:val="clear" w:color="000000" w:fill="FFFFFF"/>
            <w:vAlign w:val="center"/>
          </w:tcPr>
          <w:p>
            <w:pPr>
              <w:widowControl/>
              <w:jc w:val="left"/>
              <w:rPr>
                <w:rFonts w:ascii="宋体" w:hAnsi="宋体" w:cs="Arial"/>
                <w:color w:val="000000"/>
                <w:kern w:val="0"/>
                <w:sz w:val="20"/>
                <w:szCs w:val="20"/>
              </w:rPr>
            </w:pPr>
          </w:p>
        </w:tc>
        <w:tc>
          <w:tcPr>
            <w:tcW w:w="4540" w:type="dxa"/>
            <w:gridSpan w:val="3"/>
            <w:tcBorders>
              <w:top w:val="nil"/>
              <w:left w:val="nil"/>
              <w:bottom w:val="single" w:color="000000" w:sz="4" w:space="0"/>
              <w:right w:val="single" w:color="000000" w:sz="4" w:space="0"/>
            </w:tcBorders>
            <w:shd w:val="clear" w:color="000000" w:fill="FFFFFF"/>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rFonts w:ascii="Arial Narrow" w:hAnsi="Arial Narrow" w:cs="Arial"/>
                <w:color w:val="000000"/>
                <w:kern w:val="0"/>
                <w:sz w:val="20"/>
                <w:szCs w:val="20"/>
              </w:rPr>
            </w:pPr>
          </w:p>
        </w:tc>
      </w:tr>
      <w:tr>
        <w:tblPrEx>
          <w:tblCellMar>
            <w:top w:w="0" w:type="dxa"/>
            <w:left w:w="108" w:type="dxa"/>
            <w:bottom w:w="0" w:type="dxa"/>
            <w:right w:w="108" w:type="dxa"/>
          </w:tblCellMar>
        </w:tblPrEx>
        <w:trPr>
          <w:trHeight w:val="300" w:hRule="atLeast"/>
        </w:trPr>
        <w:tc>
          <w:tcPr>
            <w:tcW w:w="46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w:t>
            </w:r>
          </w:p>
        </w:tc>
        <w:tc>
          <w:tcPr>
            <w:tcW w:w="3000" w:type="dxa"/>
            <w:tcBorders>
              <w:top w:val="nil"/>
              <w:left w:val="nil"/>
              <w:bottom w:val="single" w:color="000000" w:sz="4" w:space="0"/>
              <w:right w:val="single" w:color="000000" w:sz="4" w:space="0"/>
            </w:tcBorders>
            <w:shd w:val="clear" w:color="000000" w:fill="FFFFFF"/>
            <w:vAlign w:val="center"/>
          </w:tcPr>
          <w:p>
            <w:pPr>
              <w:widowControl/>
              <w:jc w:val="left"/>
              <w:rPr>
                <w:rFonts w:ascii="宋体" w:hAnsi="宋体" w:cs="Arial"/>
                <w:color w:val="000000"/>
                <w:kern w:val="0"/>
                <w:sz w:val="20"/>
                <w:szCs w:val="20"/>
              </w:rPr>
            </w:pPr>
          </w:p>
        </w:tc>
        <w:tc>
          <w:tcPr>
            <w:tcW w:w="4540" w:type="dxa"/>
            <w:gridSpan w:val="3"/>
            <w:tcBorders>
              <w:top w:val="nil"/>
              <w:left w:val="nil"/>
              <w:bottom w:val="single" w:color="000000" w:sz="4" w:space="0"/>
              <w:right w:val="single" w:color="000000" w:sz="4" w:space="0"/>
            </w:tcBorders>
            <w:shd w:val="clear" w:color="000000" w:fill="FFFFFF"/>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rFonts w:ascii="Arial Narrow" w:hAnsi="Arial Narrow" w:cs="Arial"/>
                <w:color w:val="000000"/>
                <w:kern w:val="0"/>
                <w:sz w:val="20"/>
                <w:szCs w:val="20"/>
              </w:rPr>
            </w:pPr>
          </w:p>
        </w:tc>
      </w:tr>
      <w:tr>
        <w:tblPrEx>
          <w:tblCellMar>
            <w:top w:w="0" w:type="dxa"/>
            <w:left w:w="108" w:type="dxa"/>
            <w:bottom w:w="0" w:type="dxa"/>
            <w:right w:w="108" w:type="dxa"/>
          </w:tblCellMar>
        </w:tblPrEx>
        <w:trPr>
          <w:trHeight w:val="300" w:hRule="atLeast"/>
        </w:trPr>
        <w:tc>
          <w:tcPr>
            <w:tcW w:w="46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3</w:t>
            </w:r>
          </w:p>
        </w:tc>
        <w:tc>
          <w:tcPr>
            <w:tcW w:w="3000" w:type="dxa"/>
            <w:tcBorders>
              <w:top w:val="nil"/>
              <w:left w:val="nil"/>
              <w:bottom w:val="single" w:color="000000" w:sz="4" w:space="0"/>
              <w:right w:val="single" w:color="000000" w:sz="4" w:space="0"/>
            </w:tcBorders>
            <w:shd w:val="clear" w:color="000000" w:fill="FFFFFF"/>
            <w:vAlign w:val="center"/>
          </w:tcPr>
          <w:p>
            <w:pPr>
              <w:widowControl/>
              <w:jc w:val="left"/>
              <w:rPr>
                <w:rFonts w:ascii="宋体" w:hAnsi="宋体" w:cs="Arial"/>
                <w:color w:val="000000"/>
                <w:kern w:val="0"/>
                <w:sz w:val="20"/>
                <w:szCs w:val="20"/>
              </w:rPr>
            </w:pPr>
          </w:p>
        </w:tc>
        <w:tc>
          <w:tcPr>
            <w:tcW w:w="4540" w:type="dxa"/>
            <w:gridSpan w:val="3"/>
            <w:tcBorders>
              <w:top w:val="nil"/>
              <w:left w:val="nil"/>
              <w:bottom w:val="single" w:color="000000" w:sz="4" w:space="0"/>
              <w:right w:val="single" w:color="000000" w:sz="4" w:space="0"/>
            </w:tcBorders>
            <w:shd w:val="clear" w:color="000000" w:fill="FFFFFF"/>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rFonts w:ascii="Arial Narrow" w:hAnsi="Arial Narrow" w:cs="Arial"/>
                <w:color w:val="000000"/>
                <w:kern w:val="0"/>
                <w:sz w:val="20"/>
                <w:szCs w:val="20"/>
              </w:rPr>
            </w:pPr>
          </w:p>
        </w:tc>
      </w:tr>
      <w:tr>
        <w:tblPrEx>
          <w:tblCellMar>
            <w:top w:w="0" w:type="dxa"/>
            <w:left w:w="108" w:type="dxa"/>
            <w:bottom w:w="0" w:type="dxa"/>
            <w:right w:w="108" w:type="dxa"/>
          </w:tblCellMar>
        </w:tblPrEx>
        <w:trPr>
          <w:trHeight w:val="300" w:hRule="atLeast"/>
        </w:trPr>
        <w:tc>
          <w:tcPr>
            <w:tcW w:w="46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4</w:t>
            </w:r>
          </w:p>
        </w:tc>
        <w:tc>
          <w:tcPr>
            <w:tcW w:w="3000" w:type="dxa"/>
            <w:tcBorders>
              <w:top w:val="nil"/>
              <w:left w:val="nil"/>
              <w:bottom w:val="single" w:color="000000" w:sz="4" w:space="0"/>
              <w:right w:val="single" w:color="000000" w:sz="4" w:space="0"/>
            </w:tcBorders>
            <w:shd w:val="clear" w:color="000000" w:fill="FFFFFF"/>
            <w:vAlign w:val="center"/>
          </w:tcPr>
          <w:p>
            <w:pPr>
              <w:widowControl/>
              <w:jc w:val="left"/>
              <w:rPr>
                <w:rFonts w:ascii="宋体" w:hAnsi="宋体" w:cs="Arial"/>
                <w:color w:val="000000"/>
                <w:kern w:val="0"/>
                <w:sz w:val="20"/>
                <w:szCs w:val="20"/>
              </w:rPr>
            </w:pPr>
          </w:p>
        </w:tc>
        <w:tc>
          <w:tcPr>
            <w:tcW w:w="4540" w:type="dxa"/>
            <w:gridSpan w:val="3"/>
            <w:tcBorders>
              <w:top w:val="nil"/>
              <w:left w:val="nil"/>
              <w:bottom w:val="single" w:color="000000" w:sz="4" w:space="0"/>
              <w:right w:val="single" w:color="000000" w:sz="4" w:space="0"/>
            </w:tcBorders>
            <w:shd w:val="clear" w:color="000000" w:fill="FFFFFF"/>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rFonts w:ascii="Arial Narrow" w:hAnsi="Arial Narrow" w:cs="Arial"/>
                <w:color w:val="000000"/>
                <w:kern w:val="0"/>
                <w:sz w:val="20"/>
                <w:szCs w:val="20"/>
              </w:rPr>
            </w:pPr>
          </w:p>
        </w:tc>
      </w:tr>
      <w:tr>
        <w:tblPrEx>
          <w:tblCellMar>
            <w:top w:w="0" w:type="dxa"/>
            <w:left w:w="108" w:type="dxa"/>
            <w:bottom w:w="0" w:type="dxa"/>
            <w:right w:w="108" w:type="dxa"/>
          </w:tblCellMar>
        </w:tblPrEx>
        <w:trPr>
          <w:trHeight w:val="456" w:hRule="atLeast"/>
        </w:trPr>
        <w:tc>
          <w:tcPr>
            <w:tcW w:w="460" w:type="dxa"/>
            <w:tcBorders>
              <w:top w:val="nil"/>
              <w:left w:val="single" w:color="000000" w:sz="8" w:space="0"/>
              <w:bottom w:val="single" w:color="000000" w:sz="4" w:space="0"/>
              <w:right w:val="single" w:color="000000" w:sz="4" w:space="0"/>
            </w:tcBorders>
            <w:shd w:val="clear" w:color="000000" w:fill="FFFFFF"/>
            <w:vAlign w:val="center"/>
          </w:tcPr>
          <w:p>
            <w:pPr>
              <w:widowControl/>
              <w:jc w:val="center"/>
              <w:rPr>
                <w:rFonts w:ascii="宋体" w:hAnsi="宋体" w:cs="Arial"/>
                <w:color w:val="000000"/>
                <w:kern w:val="0"/>
                <w:sz w:val="16"/>
                <w:szCs w:val="16"/>
              </w:rPr>
            </w:pPr>
            <w:r>
              <w:rPr>
                <w:rFonts w:hint="eastAsia" w:ascii="宋体" w:hAnsi="宋体" w:cs="Arial"/>
                <w:color w:val="000000"/>
                <w:kern w:val="0"/>
                <w:sz w:val="16"/>
                <w:szCs w:val="16"/>
              </w:rPr>
              <w:t>　</w:t>
            </w:r>
          </w:p>
        </w:tc>
        <w:tc>
          <w:tcPr>
            <w:tcW w:w="3000" w:type="dxa"/>
            <w:tcBorders>
              <w:top w:val="nil"/>
              <w:left w:val="nil"/>
              <w:bottom w:val="single" w:color="000000" w:sz="4" w:space="0"/>
              <w:right w:val="single" w:color="000000" w:sz="4" w:space="0"/>
            </w:tcBorders>
            <w:shd w:val="clear" w:color="000000" w:fill="FFFFFF"/>
            <w:vAlign w:val="center"/>
          </w:tcPr>
          <w:p>
            <w:pPr>
              <w:widowControl/>
              <w:jc w:val="left"/>
              <w:rPr>
                <w:rFonts w:ascii="宋体" w:hAnsi="宋体" w:cs="Arial"/>
                <w:color w:val="000000"/>
                <w:kern w:val="0"/>
                <w:sz w:val="16"/>
                <w:szCs w:val="16"/>
              </w:rPr>
            </w:pPr>
            <w:r>
              <w:rPr>
                <w:rFonts w:hint="eastAsia" w:ascii="宋体" w:hAnsi="宋体" w:cs="Arial"/>
                <w:color w:val="000000"/>
                <w:kern w:val="0"/>
                <w:sz w:val="16"/>
                <w:szCs w:val="16"/>
              </w:rPr>
              <w:t>　</w:t>
            </w:r>
          </w:p>
        </w:tc>
        <w:tc>
          <w:tcPr>
            <w:tcW w:w="4540" w:type="dxa"/>
            <w:gridSpan w:val="3"/>
            <w:tcBorders>
              <w:top w:val="nil"/>
              <w:left w:val="nil"/>
              <w:bottom w:val="single" w:color="000000" w:sz="4" w:space="0"/>
              <w:right w:val="single" w:color="000000" w:sz="4" w:space="0"/>
            </w:tcBorders>
            <w:shd w:val="clear" w:color="000000" w:fill="FFFFFF"/>
            <w:vAlign w:val="center"/>
          </w:tcPr>
          <w:p>
            <w:pPr>
              <w:widowControl/>
              <w:jc w:val="left"/>
              <w:rPr>
                <w:rFonts w:ascii="宋体" w:hAnsi="宋体" w:cs="Arial"/>
                <w:color w:val="000000"/>
                <w:kern w:val="0"/>
                <w:sz w:val="16"/>
                <w:szCs w:val="16"/>
              </w:rPr>
            </w:pPr>
            <w:r>
              <w:rPr>
                <w:rFonts w:hint="eastAsia" w:ascii="宋体" w:hAnsi="宋体" w:cs="Arial"/>
                <w:color w:val="000000"/>
                <w:kern w:val="0"/>
                <w:sz w:val="16"/>
                <w:szCs w:val="16"/>
              </w:rPr>
              <w:t>　</w:t>
            </w:r>
          </w:p>
        </w:tc>
        <w:tc>
          <w:tcPr>
            <w:tcW w:w="1120" w:type="dxa"/>
            <w:tcBorders>
              <w:top w:val="nil"/>
              <w:left w:val="nil"/>
              <w:bottom w:val="single" w:color="000000" w:sz="4" w:space="0"/>
              <w:right w:val="single" w:color="000000" w:sz="8" w:space="0"/>
            </w:tcBorders>
            <w:shd w:val="clear" w:color="000000" w:fill="FFFFFF"/>
            <w:vAlign w:val="center"/>
          </w:tcPr>
          <w:p>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　</w:t>
            </w:r>
          </w:p>
        </w:tc>
      </w:tr>
    </w:tbl>
    <w:p/>
    <w:p>
      <w:pPr>
        <w:tabs>
          <w:tab w:val="left" w:pos="0"/>
        </w:tabs>
        <w:spacing w:beforeLines="20" w:afterLines="20" w:line="540" w:lineRule="exact"/>
        <w:ind w:right="-212" w:firstLine="400"/>
        <w:rPr>
          <w:rFonts w:ascii="仿宋_GB2312" w:hAnsi="宋体" w:eastAsia="仿宋_GB2312"/>
          <w:sz w:val="24"/>
        </w:rPr>
      </w:pPr>
    </w:p>
    <w:p>
      <w:pPr>
        <w:spacing w:beforeLines="20" w:afterLines="20" w:line="540" w:lineRule="exact"/>
        <w:rPr>
          <w:rFonts w:ascii="仿宋_GB2312" w:eastAsia="仿宋_GB2312"/>
          <w:sz w:val="24"/>
        </w:rPr>
        <w:sectPr>
          <w:headerReference r:id="rId14" w:type="first"/>
          <w:footerReference r:id="rId16" w:type="first"/>
          <w:headerReference r:id="rId12" w:type="default"/>
          <w:headerReference r:id="rId13" w:type="even"/>
          <w:footerReference r:id="rId15" w:type="even"/>
          <w:pgSz w:w="11907" w:h="16840"/>
          <w:pgMar w:top="1134" w:right="1134" w:bottom="1134" w:left="1134" w:header="680" w:footer="907" w:gutter="0"/>
          <w:cols w:space="720" w:num="1"/>
          <w:docGrid w:linePitch="271" w:charSpace="0"/>
        </w:sectPr>
      </w:pPr>
    </w:p>
    <w:p>
      <w:pPr>
        <w:tabs>
          <w:tab w:val="left" w:pos="0"/>
        </w:tabs>
        <w:spacing w:beforeLines="20" w:afterLines="20" w:line="540" w:lineRule="exact"/>
        <w:ind w:right="-212" w:firstLine="400"/>
        <w:jc w:val="center"/>
        <w:rPr>
          <w:rFonts w:ascii="仿宋_GB2312" w:eastAsia="仿宋_GB2312"/>
          <w:kern w:val="0"/>
          <w:sz w:val="30"/>
          <w:szCs w:val="30"/>
        </w:rPr>
      </w:pPr>
      <w:bookmarkStart w:id="590" w:name="_Toc44996378"/>
      <w:bookmarkStart w:id="591" w:name="_Toc17215716"/>
      <w:r>
        <w:rPr>
          <w:rFonts w:hint="eastAsia" w:ascii="仿宋_GB2312" w:hAnsi="宋体" w:eastAsia="仿宋_GB2312"/>
          <w:kern w:val="0"/>
          <w:sz w:val="30"/>
          <w:szCs w:val="30"/>
        </w:rPr>
        <w:t>降低投标报价说明、证明材料</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2" w:hRule="atLeast"/>
        </w:trPr>
        <w:tc>
          <w:tcPr>
            <w:tcW w:w="5000" w:type="pct"/>
          </w:tcPr>
          <w:p>
            <w:pPr>
              <w:pStyle w:val="4"/>
              <w:spacing w:before="20" w:after="20" w:line="540" w:lineRule="exact"/>
              <w:ind w:firstLine="0" w:firstLineChars="0"/>
              <w:rPr>
                <w:rFonts w:ascii="仿宋_GB2312" w:eastAsia="仿宋_GB2312"/>
              </w:rPr>
            </w:pPr>
          </w:p>
        </w:tc>
      </w:tr>
    </w:tbl>
    <w:p>
      <w:pPr>
        <w:pStyle w:val="4"/>
        <w:spacing w:before="20" w:after="20" w:line="540" w:lineRule="exact"/>
        <w:ind w:firstLine="480"/>
        <w:rPr>
          <w:rFonts w:ascii="仿宋_GB2312" w:eastAsia="仿宋_GB2312"/>
          <w:sz w:val="24"/>
        </w:rPr>
      </w:pPr>
      <w:r>
        <w:rPr>
          <w:rFonts w:hint="eastAsia" w:ascii="仿宋_GB2312" w:eastAsia="仿宋_GB2312"/>
          <w:sz w:val="24"/>
        </w:rPr>
        <w:t>1</w:t>
      </w:r>
      <w:r>
        <w:rPr>
          <w:rFonts w:hint="eastAsia" w:ascii="仿宋_GB2312" w:hAnsi="宋体" w:eastAsia="仿宋_GB2312"/>
          <w:sz w:val="24"/>
        </w:rPr>
        <w:t>、本项资料格式不作统一规定，由投标人自行设计。</w:t>
      </w:r>
    </w:p>
    <w:p>
      <w:pPr>
        <w:pStyle w:val="4"/>
        <w:spacing w:before="20" w:after="20" w:line="540" w:lineRule="exact"/>
        <w:ind w:firstLine="480"/>
        <w:rPr>
          <w:rFonts w:ascii="仿宋_GB2312" w:eastAsia="仿宋_GB2312"/>
          <w:sz w:val="24"/>
        </w:rPr>
      </w:pPr>
      <w:r>
        <w:rPr>
          <w:rFonts w:hint="eastAsia" w:ascii="仿宋_GB2312" w:eastAsia="仿宋_GB2312"/>
          <w:sz w:val="24"/>
        </w:rPr>
        <w:t>2</w:t>
      </w:r>
      <w:r>
        <w:rPr>
          <w:rFonts w:hint="eastAsia" w:ascii="仿宋_GB2312" w:hAnsi="宋体" w:eastAsia="仿宋_GB2312"/>
          <w:sz w:val="24"/>
        </w:rPr>
        <w:t>、本项资料包括在人工、材料、机械消耗量、价格、施工措施、方案及其它方面有降低工程造价的相关证明资料。</w:t>
      </w:r>
    </w:p>
    <w:p>
      <w:pPr>
        <w:pStyle w:val="4"/>
        <w:spacing w:before="20" w:after="20" w:line="540" w:lineRule="exact"/>
        <w:ind w:firstLine="480"/>
        <w:rPr>
          <w:rFonts w:ascii="仿宋_GB2312" w:eastAsia="仿宋_GB2312"/>
          <w:sz w:val="24"/>
        </w:rPr>
      </w:pPr>
    </w:p>
    <w:p>
      <w:pPr>
        <w:pStyle w:val="4"/>
        <w:spacing w:before="20" w:after="20" w:line="540" w:lineRule="exact"/>
        <w:ind w:firstLine="480"/>
        <w:rPr>
          <w:rFonts w:ascii="仿宋_GB2312" w:eastAsia="仿宋_GB2312"/>
          <w:sz w:val="24"/>
        </w:rPr>
      </w:pPr>
    </w:p>
    <w:p>
      <w:pPr>
        <w:pStyle w:val="4"/>
        <w:spacing w:before="20" w:after="20" w:line="540" w:lineRule="exact"/>
        <w:ind w:firstLine="480"/>
        <w:rPr>
          <w:rFonts w:ascii="仿宋_GB2312" w:eastAsia="仿宋_GB2312"/>
          <w:sz w:val="24"/>
        </w:rPr>
      </w:pPr>
    </w:p>
    <w:p>
      <w:pPr>
        <w:pStyle w:val="26"/>
        <w:jc w:val="center"/>
        <w:rPr>
          <w:rFonts w:ascii="仿宋_GB2312" w:eastAsia="仿宋_GB2312"/>
          <w:b/>
          <w:smallCaps/>
          <w:sz w:val="28"/>
          <w:szCs w:val="28"/>
        </w:rPr>
      </w:pPr>
      <w:bookmarkStart w:id="592" w:name="_Toc171581377"/>
      <w:bookmarkStart w:id="593" w:name="_Toc171581557"/>
      <w:bookmarkStart w:id="594" w:name="_Toc171742000"/>
    </w:p>
    <w:p>
      <w:pPr>
        <w:pStyle w:val="26"/>
        <w:jc w:val="center"/>
        <w:rPr>
          <w:rFonts w:ascii="仿宋_GB2312" w:eastAsia="仿宋_GB2312"/>
          <w:b/>
          <w:smallCaps/>
          <w:sz w:val="28"/>
          <w:szCs w:val="28"/>
        </w:rPr>
      </w:pPr>
    </w:p>
    <w:p>
      <w:pPr>
        <w:pStyle w:val="26"/>
        <w:jc w:val="center"/>
        <w:rPr>
          <w:rFonts w:ascii="仿宋_GB2312" w:eastAsia="仿宋_GB2312"/>
          <w:b/>
          <w:smallCaps/>
          <w:sz w:val="28"/>
          <w:szCs w:val="28"/>
        </w:rPr>
      </w:pPr>
    </w:p>
    <w:p>
      <w:pPr>
        <w:pStyle w:val="26"/>
        <w:jc w:val="center"/>
        <w:rPr>
          <w:rFonts w:ascii="仿宋_GB2312" w:eastAsia="仿宋_GB2312"/>
          <w:b/>
          <w:smallCaps/>
          <w:sz w:val="28"/>
          <w:szCs w:val="28"/>
        </w:rPr>
      </w:pPr>
    </w:p>
    <w:p>
      <w:pPr>
        <w:pStyle w:val="26"/>
        <w:jc w:val="center"/>
        <w:rPr>
          <w:rFonts w:ascii="仿宋_GB2312" w:eastAsia="仿宋_GB2312"/>
          <w:b/>
          <w:smallCaps/>
          <w:sz w:val="28"/>
          <w:szCs w:val="28"/>
        </w:rPr>
      </w:pPr>
    </w:p>
    <w:p>
      <w:pPr>
        <w:pStyle w:val="26"/>
        <w:jc w:val="center"/>
        <w:rPr>
          <w:rFonts w:ascii="仿宋_GB2312" w:eastAsia="仿宋_GB2312"/>
          <w:b/>
          <w:smallCaps/>
          <w:sz w:val="28"/>
          <w:szCs w:val="28"/>
        </w:rPr>
      </w:pPr>
    </w:p>
    <w:p>
      <w:pPr>
        <w:pStyle w:val="26"/>
        <w:jc w:val="center"/>
        <w:rPr>
          <w:rFonts w:ascii="仿宋_GB2312" w:eastAsia="仿宋_GB2312"/>
          <w:b/>
          <w:smallCaps/>
          <w:sz w:val="28"/>
          <w:szCs w:val="28"/>
        </w:rPr>
      </w:pPr>
    </w:p>
    <w:p>
      <w:pPr>
        <w:pStyle w:val="26"/>
        <w:jc w:val="center"/>
        <w:rPr>
          <w:rFonts w:ascii="仿宋_GB2312" w:eastAsia="仿宋_GB2312"/>
          <w:b/>
          <w:smallCaps/>
          <w:sz w:val="28"/>
          <w:szCs w:val="28"/>
        </w:rPr>
      </w:pPr>
    </w:p>
    <w:p>
      <w:pPr>
        <w:pStyle w:val="26"/>
        <w:jc w:val="center"/>
        <w:rPr>
          <w:rFonts w:ascii="仿宋_GB2312" w:eastAsia="仿宋_GB2312"/>
          <w:b/>
          <w:smallCaps/>
          <w:sz w:val="28"/>
          <w:szCs w:val="28"/>
        </w:rPr>
      </w:pPr>
    </w:p>
    <w:p>
      <w:pPr>
        <w:pStyle w:val="26"/>
        <w:jc w:val="center"/>
        <w:rPr>
          <w:rFonts w:ascii="仿宋_GB2312" w:eastAsia="仿宋_GB2312"/>
          <w:b/>
          <w:smallCaps/>
          <w:sz w:val="28"/>
          <w:szCs w:val="28"/>
        </w:rPr>
      </w:pPr>
    </w:p>
    <w:p>
      <w:pPr>
        <w:pStyle w:val="26"/>
        <w:jc w:val="center"/>
        <w:rPr>
          <w:rFonts w:ascii="仿宋_GB2312" w:eastAsia="仿宋_GB2312"/>
          <w:b/>
          <w:smallCaps/>
          <w:sz w:val="28"/>
          <w:szCs w:val="28"/>
        </w:rPr>
      </w:pPr>
    </w:p>
    <w:p>
      <w:pPr>
        <w:pStyle w:val="26"/>
        <w:jc w:val="center"/>
        <w:rPr>
          <w:rFonts w:ascii="仿宋_GB2312" w:eastAsia="仿宋_GB2312"/>
          <w:b/>
          <w:smallCaps/>
          <w:sz w:val="28"/>
          <w:szCs w:val="28"/>
        </w:rPr>
      </w:pPr>
    </w:p>
    <w:p>
      <w:pPr>
        <w:pStyle w:val="26"/>
        <w:jc w:val="center"/>
        <w:rPr>
          <w:rFonts w:ascii="仿宋_GB2312" w:eastAsia="仿宋_GB2312"/>
          <w:b/>
          <w:sz w:val="28"/>
          <w:szCs w:val="28"/>
        </w:rPr>
      </w:pPr>
      <w:r>
        <w:rPr>
          <w:rFonts w:hint="eastAsia" w:ascii="仿宋_GB2312" w:eastAsia="仿宋_GB2312"/>
          <w:b/>
          <w:smallCaps/>
          <w:sz w:val="28"/>
          <w:szCs w:val="28"/>
        </w:rPr>
        <w:t>(十八) 投标</w:t>
      </w:r>
      <w:r>
        <w:rPr>
          <w:rFonts w:hint="eastAsia" w:ascii="仿宋_GB2312" w:eastAsia="仿宋_GB2312"/>
          <w:b/>
          <w:sz w:val="28"/>
          <w:szCs w:val="28"/>
        </w:rPr>
        <w:t>报价需要说明的其他资料</w:t>
      </w:r>
      <w:bookmarkEnd w:id="590"/>
      <w:bookmarkEnd w:id="591"/>
      <w:bookmarkEnd w:id="592"/>
      <w:bookmarkEnd w:id="593"/>
      <w:bookmarkEnd w:id="594"/>
    </w:p>
    <w:p>
      <w:pPr>
        <w:pStyle w:val="4"/>
        <w:ind w:firstLine="560"/>
        <w:rPr>
          <w:rFonts w:ascii="仿宋_GB2312" w:hAnsi="宋体" w:eastAsia="仿宋_GB2312"/>
          <w:sz w:val="28"/>
        </w:rPr>
      </w:pPr>
      <w:r>
        <w:rPr>
          <w:rFonts w:hint="eastAsia" w:ascii="仿宋_GB2312" w:hAnsi="宋体" w:eastAsia="仿宋_GB2312"/>
          <w:sz w:val="28"/>
        </w:rPr>
        <w:t>投标单位认为需对其投标报价进行其他补充说明及证明材料。</w:t>
      </w:r>
    </w:p>
    <w:p>
      <w:pPr>
        <w:pStyle w:val="4"/>
        <w:ind w:firstLine="560"/>
        <w:rPr>
          <w:rFonts w:ascii="仿宋_GB2312" w:hAnsi="宋体" w:eastAsia="仿宋_GB2312"/>
          <w:sz w:val="28"/>
        </w:rPr>
      </w:pPr>
    </w:p>
    <w:p>
      <w:pPr>
        <w:spacing w:beforeLines="20" w:afterLines="20" w:line="540" w:lineRule="exact"/>
        <w:rPr>
          <w:rFonts w:ascii="仿宋_GB2312" w:eastAsia="仿宋_GB2312"/>
          <w:sz w:val="24"/>
        </w:rPr>
      </w:pPr>
    </w:p>
    <w:p>
      <w:pPr>
        <w:spacing w:beforeLines="20" w:afterLines="20" w:line="540" w:lineRule="exact"/>
        <w:rPr>
          <w:rFonts w:ascii="仿宋_GB2312" w:eastAsia="仿宋_GB2312"/>
          <w:sz w:val="24"/>
        </w:rPr>
      </w:pPr>
    </w:p>
    <w:p>
      <w:pPr>
        <w:spacing w:beforeLines="20" w:afterLines="20" w:line="540" w:lineRule="exact"/>
        <w:rPr>
          <w:rFonts w:ascii="仿宋_GB2312" w:eastAsia="仿宋_GB2312"/>
          <w:sz w:val="24"/>
        </w:rPr>
        <w:sectPr>
          <w:pgSz w:w="11907" w:h="16840"/>
          <w:pgMar w:top="1134" w:right="1134" w:bottom="1134" w:left="1134" w:header="680" w:footer="907" w:gutter="0"/>
          <w:cols w:space="720" w:num="1"/>
          <w:docGrid w:linePitch="271" w:charSpace="0"/>
        </w:sectPr>
      </w:pPr>
    </w:p>
    <w:bookmarkEnd w:id="589"/>
    <w:p>
      <w:pPr>
        <w:pStyle w:val="3"/>
        <w:rPr>
          <w:rFonts w:ascii="仿宋_GB2312" w:hAnsi="宋体" w:eastAsia="仿宋_GB2312"/>
          <w:sz w:val="24"/>
        </w:rPr>
      </w:pPr>
      <w:bookmarkStart w:id="595" w:name="_Toc208106840"/>
      <w:r>
        <w:rPr>
          <w:rFonts w:hint="eastAsia" w:ascii="仿宋_GB2312" w:hAnsi="宋体" w:eastAsia="仿宋_GB2312"/>
        </w:rPr>
        <w:t>（二）技术标</w:t>
      </w:r>
      <w:bookmarkEnd w:id="595"/>
    </w:p>
    <w:p>
      <w:pPr>
        <w:pStyle w:val="19"/>
        <w:adjustRightInd w:val="0"/>
        <w:snapToGrid w:val="0"/>
        <w:spacing w:beforeLines="20" w:afterLines="20" w:line="540" w:lineRule="exact"/>
        <w:ind w:leftChars="0"/>
        <w:jc w:val="left"/>
        <w:rPr>
          <w:rFonts w:ascii="仿宋_GB2312" w:eastAsia="仿宋_GB2312"/>
          <w:sz w:val="24"/>
        </w:rPr>
      </w:pPr>
      <w:bookmarkStart w:id="596" w:name="_Toc17197760"/>
      <w:r>
        <w:rPr>
          <w:rFonts w:hint="eastAsia" w:ascii="仿宋_GB2312" w:hAnsi="宋体" w:eastAsia="仿宋_GB2312"/>
          <w:sz w:val="24"/>
        </w:rPr>
        <w:t>封面格式</w:t>
      </w:r>
    </w:p>
    <w:p>
      <w:pPr>
        <w:pStyle w:val="19"/>
        <w:adjustRightInd w:val="0"/>
        <w:snapToGrid w:val="0"/>
        <w:spacing w:beforeLines="20" w:afterLines="20" w:line="540" w:lineRule="exact"/>
        <w:ind w:left="0" w:leftChars="0" w:firstLine="2400" w:firstLineChars="1000"/>
        <w:jc w:val="left"/>
        <w:rPr>
          <w:rFonts w:ascii="仿宋_GB2312" w:eastAsia="仿宋_GB2312"/>
          <w:sz w:val="24"/>
        </w:rPr>
      </w:pPr>
    </w:p>
    <w:p>
      <w:pPr>
        <w:pStyle w:val="19"/>
        <w:adjustRightInd w:val="0"/>
        <w:snapToGrid w:val="0"/>
        <w:spacing w:beforeLines="20" w:afterLines="20" w:line="540" w:lineRule="exact"/>
        <w:ind w:left="0" w:leftChars="0" w:firstLine="2811" w:firstLineChars="1000"/>
        <w:jc w:val="left"/>
        <w:rPr>
          <w:rFonts w:ascii="仿宋_GB2312" w:eastAsia="仿宋_GB2312"/>
          <w:b/>
          <w:sz w:val="28"/>
          <w:u w:val="single"/>
        </w:rPr>
      </w:pPr>
      <w:r>
        <w:rPr>
          <w:rFonts w:hint="eastAsia" w:ascii="仿宋_GB2312" w:hAnsi="宋体" w:eastAsia="仿宋_GB2312"/>
          <w:b/>
          <w:sz w:val="28"/>
          <w:u w:val="single"/>
        </w:rPr>
        <w:t xml:space="preserve">                           </w:t>
      </w:r>
      <w:r>
        <w:rPr>
          <w:rFonts w:hint="eastAsia" w:ascii="仿宋_GB2312" w:hAnsi="宋体" w:eastAsia="仿宋_GB2312"/>
          <w:b/>
          <w:sz w:val="28"/>
        </w:rPr>
        <w:t>工程施工招标</w:t>
      </w:r>
    </w:p>
    <w:p>
      <w:pPr>
        <w:adjustRightInd w:val="0"/>
        <w:snapToGrid w:val="0"/>
        <w:spacing w:beforeLines="20" w:afterLines="20" w:line="800" w:lineRule="exact"/>
        <w:rPr>
          <w:rFonts w:ascii="仿宋_GB2312" w:eastAsia="仿宋_GB2312"/>
          <w:sz w:val="24"/>
          <w:u w:val="single"/>
        </w:rPr>
      </w:pPr>
    </w:p>
    <w:p>
      <w:pPr>
        <w:pStyle w:val="18"/>
        <w:adjustRightInd w:val="0"/>
        <w:snapToGrid w:val="0"/>
        <w:spacing w:beforeLines="20" w:afterLines="20" w:line="800" w:lineRule="exact"/>
        <w:jc w:val="center"/>
        <w:rPr>
          <w:rFonts w:ascii="仿宋_GB2312" w:eastAsia="仿宋_GB2312"/>
          <w:sz w:val="84"/>
        </w:rPr>
      </w:pPr>
      <w:r>
        <w:rPr>
          <w:rFonts w:hint="eastAsia" w:ascii="仿宋_GB2312" w:hAnsi="宋体" w:eastAsia="仿宋_GB2312"/>
          <w:sz w:val="84"/>
        </w:rPr>
        <w:t>投标文件</w:t>
      </w:r>
    </w:p>
    <w:p>
      <w:pPr>
        <w:adjustRightInd w:val="0"/>
        <w:snapToGrid w:val="0"/>
        <w:spacing w:beforeLines="20" w:afterLines="20" w:line="540" w:lineRule="exact"/>
        <w:jc w:val="center"/>
        <w:rPr>
          <w:rFonts w:ascii="仿宋_GB2312" w:eastAsia="仿宋_GB2312"/>
          <w:b/>
          <w:sz w:val="24"/>
        </w:rPr>
      </w:pPr>
    </w:p>
    <w:p>
      <w:pPr>
        <w:adjustRightInd w:val="0"/>
        <w:snapToGrid w:val="0"/>
        <w:spacing w:beforeLines="20" w:afterLines="20" w:line="540" w:lineRule="exact"/>
        <w:jc w:val="center"/>
        <w:rPr>
          <w:rFonts w:ascii="仿宋_GB2312" w:eastAsia="仿宋_GB2312"/>
          <w:b/>
          <w:sz w:val="24"/>
        </w:rPr>
      </w:pPr>
    </w:p>
    <w:p>
      <w:pPr>
        <w:adjustRightInd w:val="0"/>
        <w:snapToGrid w:val="0"/>
        <w:spacing w:beforeLines="20" w:afterLines="20" w:line="540" w:lineRule="exact"/>
        <w:jc w:val="center"/>
        <w:rPr>
          <w:rFonts w:ascii="仿宋_GB2312" w:eastAsia="仿宋_GB2312"/>
          <w:b/>
          <w:sz w:val="24"/>
        </w:rPr>
      </w:pPr>
    </w:p>
    <w:p>
      <w:pPr>
        <w:adjustRightInd w:val="0"/>
        <w:snapToGrid w:val="0"/>
        <w:spacing w:beforeLines="20" w:afterLines="20" w:line="540" w:lineRule="exact"/>
        <w:jc w:val="center"/>
        <w:rPr>
          <w:rFonts w:ascii="仿宋_GB2312" w:eastAsia="仿宋_GB2312"/>
          <w:b/>
          <w:sz w:val="24"/>
        </w:rPr>
      </w:pPr>
    </w:p>
    <w:p>
      <w:pPr>
        <w:adjustRightInd w:val="0"/>
        <w:snapToGrid w:val="0"/>
        <w:spacing w:beforeLines="20" w:afterLines="20" w:line="540" w:lineRule="exact"/>
        <w:jc w:val="center"/>
        <w:rPr>
          <w:rFonts w:ascii="仿宋_GB2312" w:eastAsia="仿宋_GB2312"/>
          <w:b/>
          <w:sz w:val="24"/>
        </w:rPr>
      </w:pPr>
    </w:p>
    <w:p>
      <w:pPr>
        <w:adjustRightInd w:val="0"/>
        <w:snapToGrid w:val="0"/>
        <w:spacing w:beforeLines="20" w:afterLines="20" w:line="540" w:lineRule="exact"/>
        <w:jc w:val="center"/>
        <w:rPr>
          <w:rFonts w:ascii="仿宋_GB2312" w:eastAsia="仿宋_GB2312"/>
          <w:b/>
        </w:rPr>
      </w:pPr>
    </w:p>
    <w:p>
      <w:pPr>
        <w:adjustRightInd w:val="0"/>
        <w:snapToGrid w:val="0"/>
        <w:spacing w:beforeLines="20" w:afterLines="20" w:line="540" w:lineRule="exact"/>
        <w:jc w:val="center"/>
        <w:rPr>
          <w:rFonts w:ascii="仿宋_GB2312" w:eastAsia="仿宋_GB2312"/>
          <w:b/>
        </w:rPr>
      </w:pPr>
    </w:p>
    <w:p>
      <w:pPr>
        <w:adjustRightInd w:val="0"/>
        <w:snapToGrid w:val="0"/>
        <w:spacing w:beforeLines="20" w:afterLines="20" w:line="540" w:lineRule="exact"/>
        <w:ind w:firstLine="843" w:firstLineChars="300"/>
        <w:rPr>
          <w:rFonts w:ascii="仿宋_GB2312" w:eastAsia="仿宋_GB2312"/>
          <w:sz w:val="28"/>
          <w:u w:val="single"/>
        </w:rPr>
      </w:pPr>
      <w:r>
        <w:rPr>
          <w:rFonts w:hint="eastAsia" w:ascii="仿宋_GB2312" w:hAnsi="宋体" w:eastAsia="仿宋_GB2312"/>
          <w:b/>
          <w:bCs/>
          <w:sz w:val="28"/>
        </w:rPr>
        <w:t>项目名称：</w:t>
      </w:r>
      <w:r>
        <w:rPr>
          <w:rFonts w:hint="eastAsia" w:ascii="仿宋_GB2312" w:hAnsi="宋体" w:eastAsia="仿宋_GB2312"/>
          <w:b/>
          <w:bCs/>
          <w:sz w:val="28"/>
          <w:u w:val="single"/>
        </w:rPr>
        <w:t xml:space="preserve">                                </w:t>
      </w:r>
    </w:p>
    <w:p>
      <w:pPr>
        <w:adjustRightInd w:val="0"/>
        <w:snapToGrid w:val="0"/>
        <w:spacing w:beforeLines="20" w:afterLines="20" w:line="540" w:lineRule="exact"/>
        <w:ind w:firstLine="843" w:firstLineChars="300"/>
        <w:rPr>
          <w:rFonts w:ascii="仿宋_GB2312" w:hAnsi="宋体" w:eastAsia="仿宋_GB2312"/>
          <w:b/>
          <w:bCs/>
          <w:sz w:val="28"/>
          <w:u w:val="single"/>
        </w:rPr>
      </w:pPr>
      <w:r>
        <w:rPr>
          <w:rFonts w:hint="eastAsia" w:ascii="仿宋_GB2312" w:hAnsi="宋体" w:eastAsia="仿宋_GB2312"/>
          <w:b/>
          <w:bCs/>
          <w:sz w:val="28"/>
        </w:rPr>
        <w:t>项目编号：</w:t>
      </w:r>
      <w:r>
        <w:rPr>
          <w:rFonts w:hint="eastAsia" w:ascii="仿宋_GB2312" w:hAnsi="宋体" w:eastAsia="仿宋_GB2312"/>
          <w:b/>
          <w:bCs/>
          <w:sz w:val="28"/>
          <w:u w:val="single"/>
        </w:rPr>
        <w:t xml:space="preserve">                                </w:t>
      </w:r>
    </w:p>
    <w:p>
      <w:pPr>
        <w:adjustRightInd w:val="0"/>
        <w:snapToGrid w:val="0"/>
        <w:spacing w:beforeLines="20" w:afterLines="20" w:line="540" w:lineRule="exact"/>
        <w:ind w:firstLine="843" w:firstLineChars="300"/>
        <w:rPr>
          <w:rFonts w:ascii="仿宋_GB2312" w:eastAsia="仿宋_GB2312"/>
          <w:b/>
          <w:bCs/>
          <w:sz w:val="28"/>
          <w:u w:val="single"/>
        </w:rPr>
      </w:pPr>
      <w:r>
        <w:rPr>
          <w:rFonts w:hint="eastAsia" w:ascii="仿宋_GB2312" w:hAnsi="宋体" w:eastAsia="仿宋_GB2312"/>
          <w:b/>
          <w:bCs/>
          <w:sz w:val="28"/>
        </w:rPr>
        <w:t>投标文件内容：</w:t>
      </w:r>
      <w:r>
        <w:rPr>
          <w:rFonts w:hint="eastAsia" w:ascii="仿宋_GB2312" w:hAnsi="宋体" w:eastAsia="仿宋_GB2312"/>
          <w:b/>
          <w:bCs/>
          <w:sz w:val="28"/>
          <w:u w:val="single"/>
        </w:rPr>
        <w:t xml:space="preserve">       </w:t>
      </w:r>
      <w:r>
        <w:rPr>
          <w:rFonts w:hint="eastAsia" w:ascii="仿宋_GB2312" w:eastAsia="仿宋_GB2312"/>
          <w:b/>
          <w:bCs/>
          <w:sz w:val="28"/>
          <w:u w:val="single"/>
        </w:rPr>
        <w:tab/>
      </w:r>
      <w:r>
        <w:rPr>
          <w:rFonts w:hint="eastAsia" w:ascii="仿宋_GB2312" w:hAnsi="宋体" w:eastAsia="仿宋_GB2312"/>
          <w:b/>
          <w:bCs/>
          <w:sz w:val="28"/>
          <w:u w:val="single"/>
        </w:rPr>
        <w:t xml:space="preserve">投标文件技术标  </w:t>
      </w:r>
      <w:r>
        <w:rPr>
          <w:rFonts w:hint="eastAsia" w:ascii="仿宋_GB2312" w:eastAsia="仿宋_GB2312"/>
          <w:b/>
          <w:bCs/>
          <w:sz w:val="28"/>
          <w:u w:val="single"/>
        </w:rPr>
        <w:tab/>
      </w:r>
    </w:p>
    <w:p>
      <w:pPr>
        <w:adjustRightInd w:val="0"/>
        <w:snapToGrid w:val="0"/>
        <w:spacing w:beforeLines="20" w:afterLines="20" w:line="540" w:lineRule="exact"/>
        <w:ind w:firstLine="843" w:firstLineChars="300"/>
        <w:rPr>
          <w:rFonts w:ascii="仿宋_GB2312" w:eastAsia="仿宋_GB2312"/>
          <w:b/>
          <w:bCs/>
          <w:sz w:val="28"/>
        </w:rPr>
      </w:pPr>
      <w:r>
        <w:rPr>
          <w:rFonts w:hint="eastAsia" w:ascii="仿宋_GB2312" w:hAnsi="宋体" w:eastAsia="仿宋_GB2312"/>
          <w:b/>
          <w:bCs/>
          <w:sz w:val="28"/>
        </w:rPr>
        <w:t>投标人：</w:t>
      </w:r>
      <w:r>
        <w:rPr>
          <w:rFonts w:hint="eastAsia" w:ascii="仿宋_GB2312" w:hAnsi="宋体" w:eastAsia="仿宋_GB2312"/>
          <w:b/>
          <w:bCs/>
          <w:sz w:val="28"/>
          <w:u w:val="single"/>
        </w:rPr>
        <w:t xml:space="preserve">             （盖单位章）         </w:t>
      </w:r>
    </w:p>
    <w:p>
      <w:pPr>
        <w:pStyle w:val="39"/>
        <w:adjustRightInd w:val="0"/>
        <w:snapToGrid w:val="0"/>
        <w:spacing w:beforeLines="20" w:afterLines="20" w:line="540" w:lineRule="exact"/>
        <w:ind w:left="248" w:leftChars="118" w:firstLine="562" w:firstLineChars="200"/>
        <w:rPr>
          <w:rFonts w:ascii="仿宋_GB2312" w:eastAsia="仿宋_GB2312"/>
          <w:b/>
          <w:bCs/>
          <w:sz w:val="28"/>
          <w:u w:val="single"/>
        </w:rPr>
      </w:pPr>
      <w:r>
        <w:rPr>
          <w:rFonts w:hint="eastAsia" w:ascii="仿宋_GB2312" w:hAnsi="宋体" w:eastAsia="仿宋_GB2312"/>
          <w:b/>
          <w:bCs/>
          <w:sz w:val="28"/>
        </w:rPr>
        <w:t>法定代表人或企业负责人：</w:t>
      </w:r>
      <w:r>
        <w:rPr>
          <w:rFonts w:hint="eastAsia" w:ascii="仿宋_GB2312" w:hAnsi="宋体" w:eastAsia="仿宋_GB2312"/>
          <w:b/>
          <w:bCs/>
          <w:sz w:val="28"/>
          <w:u w:val="single"/>
        </w:rPr>
        <w:t xml:space="preserve">  （签字或个人印鉴章）  </w:t>
      </w:r>
    </w:p>
    <w:p>
      <w:pPr>
        <w:adjustRightInd w:val="0"/>
        <w:snapToGrid w:val="0"/>
        <w:spacing w:beforeLines="20" w:afterLines="20" w:line="540" w:lineRule="exact"/>
        <w:jc w:val="center"/>
        <w:rPr>
          <w:rFonts w:ascii="仿宋_GB2312" w:eastAsia="仿宋_GB2312"/>
          <w:b/>
          <w:bCs/>
          <w:sz w:val="24"/>
        </w:rPr>
      </w:pPr>
    </w:p>
    <w:p>
      <w:pPr>
        <w:adjustRightInd w:val="0"/>
        <w:snapToGrid w:val="0"/>
        <w:spacing w:beforeLines="20" w:afterLines="20" w:line="540" w:lineRule="exact"/>
        <w:jc w:val="center"/>
        <w:rPr>
          <w:rFonts w:ascii="仿宋_GB2312" w:hAnsi="宋体" w:eastAsia="仿宋_GB2312"/>
          <w:b/>
          <w:bCs/>
          <w:sz w:val="24"/>
        </w:rPr>
        <w:sectPr>
          <w:headerReference r:id="rId19" w:type="first"/>
          <w:footerReference r:id="rId21" w:type="first"/>
          <w:headerReference r:id="rId17" w:type="default"/>
          <w:headerReference r:id="rId18" w:type="even"/>
          <w:footerReference r:id="rId20" w:type="even"/>
          <w:pgSz w:w="11907" w:h="16840"/>
          <w:pgMar w:top="1298" w:right="1077" w:bottom="1060" w:left="1077" w:header="851" w:footer="737" w:gutter="0"/>
          <w:cols w:space="720" w:num="1"/>
          <w:docGrid w:type="lines" w:linePitch="476" w:charSpace="0"/>
        </w:sectPr>
      </w:pPr>
      <w:r>
        <w:rPr>
          <w:rFonts w:hint="eastAsia" w:ascii="仿宋_GB2312" w:hAnsi="宋体" w:eastAsia="仿宋_GB2312"/>
          <w:b/>
          <w:bCs/>
          <w:sz w:val="24"/>
        </w:rPr>
        <w:t>日期：</w:t>
      </w:r>
      <w:r>
        <w:rPr>
          <w:rFonts w:hint="eastAsia" w:ascii="仿宋_GB2312" w:hAnsi="宋体" w:eastAsia="仿宋_GB2312"/>
          <w:b/>
          <w:bCs/>
          <w:sz w:val="24"/>
          <w:u w:val="single"/>
        </w:rPr>
        <w:t xml:space="preserve">     </w:t>
      </w:r>
      <w:r>
        <w:rPr>
          <w:rFonts w:hint="eastAsia" w:ascii="仿宋_GB2312" w:hAnsi="宋体" w:eastAsia="仿宋_GB2312"/>
          <w:b/>
          <w:bCs/>
          <w:sz w:val="24"/>
        </w:rPr>
        <w:t>年</w:t>
      </w:r>
      <w:r>
        <w:rPr>
          <w:rFonts w:hint="eastAsia" w:ascii="仿宋_GB2312" w:hAnsi="宋体" w:eastAsia="仿宋_GB2312"/>
          <w:b/>
          <w:bCs/>
          <w:sz w:val="24"/>
          <w:u w:val="single"/>
        </w:rPr>
        <w:t xml:space="preserve">    </w:t>
      </w:r>
      <w:r>
        <w:rPr>
          <w:rFonts w:hint="eastAsia" w:ascii="仿宋_GB2312" w:hAnsi="宋体" w:eastAsia="仿宋_GB2312"/>
          <w:b/>
          <w:bCs/>
          <w:sz w:val="24"/>
        </w:rPr>
        <w:t>月</w:t>
      </w:r>
      <w:r>
        <w:rPr>
          <w:rFonts w:hint="eastAsia" w:ascii="仿宋_GB2312" w:hAnsi="宋体" w:eastAsia="仿宋_GB2312"/>
          <w:b/>
          <w:bCs/>
          <w:sz w:val="24"/>
          <w:u w:val="single"/>
        </w:rPr>
        <w:t xml:space="preserve">    </w:t>
      </w:r>
      <w:r>
        <w:rPr>
          <w:rFonts w:hint="eastAsia" w:ascii="仿宋_GB2312" w:hAnsi="宋体" w:eastAsia="仿宋_GB2312"/>
          <w:b/>
          <w:bCs/>
          <w:sz w:val="24"/>
        </w:rPr>
        <w:t>日</w:t>
      </w:r>
    </w:p>
    <w:p>
      <w:pPr>
        <w:adjustRightInd w:val="0"/>
        <w:snapToGrid w:val="0"/>
        <w:spacing w:beforeLines="20" w:afterLines="20" w:line="540" w:lineRule="exact"/>
        <w:jc w:val="center"/>
        <w:rPr>
          <w:rFonts w:ascii="仿宋_GB2312" w:eastAsia="仿宋_GB2312"/>
          <w:b/>
          <w:bCs/>
          <w:sz w:val="24"/>
        </w:rPr>
      </w:pPr>
    </w:p>
    <w:p>
      <w:pPr>
        <w:pStyle w:val="26"/>
        <w:jc w:val="center"/>
        <w:rPr>
          <w:rFonts w:ascii="仿宋_GB2312" w:eastAsia="仿宋_GB2312"/>
          <w:b/>
          <w:sz w:val="28"/>
          <w:szCs w:val="28"/>
        </w:rPr>
      </w:pPr>
      <w:bookmarkStart w:id="597" w:name="_Toc171742001"/>
      <w:bookmarkStart w:id="598" w:name="_Toc171581378"/>
      <w:bookmarkStart w:id="599" w:name="_Toc171581558"/>
      <w:bookmarkStart w:id="600" w:name="_Toc17197776"/>
      <w:r>
        <w:rPr>
          <w:rFonts w:hint="eastAsia" w:ascii="仿宋_GB2312" w:hAnsi="宋体" w:eastAsia="仿宋_GB2312"/>
          <w:b/>
          <w:sz w:val="28"/>
          <w:szCs w:val="28"/>
        </w:rPr>
        <w:t>一、</w:t>
      </w:r>
      <w:bookmarkStart w:id="601" w:name="_Toc17197759"/>
      <w:r>
        <w:rPr>
          <w:rFonts w:hint="eastAsia" w:ascii="仿宋_GB2312" w:hAnsi="宋体" w:eastAsia="仿宋_GB2312"/>
          <w:b/>
          <w:sz w:val="28"/>
          <w:szCs w:val="28"/>
        </w:rPr>
        <w:t>法定代表人身份证明书</w:t>
      </w:r>
      <w:bookmarkEnd w:id="601"/>
    </w:p>
    <w:p>
      <w:pPr>
        <w:spacing w:beforeLines="20" w:afterLines="20" w:line="540" w:lineRule="exact"/>
        <w:rPr>
          <w:rFonts w:ascii="仿宋_GB2312" w:eastAsia="仿宋_GB2312"/>
          <w:b/>
        </w:rPr>
      </w:pPr>
    </w:p>
    <w:p>
      <w:pPr>
        <w:spacing w:beforeLines="20" w:afterLines="20" w:line="540" w:lineRule="exact"/>
        <w:ind w:firstLine="610"/>
        <w:rPr>
          <w:rFonts w:ascii="仿宋_GB2312" w:eastAsia="仿宋_GB2312"/>
          <w:sz w:val="24"/>
          <w:u w:val="single"/>
        </w:rPr>
      </w:pPr>
      <w:r>
        <w:rPr>
          <w:rFonts w:hint="eastAsia" w:ascii="仿宋_GB2312" w:hAnsi="宋体" w:eastAsia="仿宋_GB2312"/>
          <w:sz w:val="24"/>
        </w:rPr>
        <w:t>单位名称：</w:t>
      </w:r>
      <w:r>
        <w:rPr>
          <w:rFonts w:hint="eastAsia" w:ascii="仿宋_GB2312" w:hAnsi="宋体" w:eastAsia="仿宋_GB2312"/>
          <w:sz w:val="24"/>
          <w:u w:val="single"/>
        </w:rPr>
        <w:t xml:space="preserve">                             </w:t>
      </w:r>
    </w:p>
    <w:p>
      <w:pPr>
        <w:spacing w:beforeLines="20" w:afterLines="20" w:line="540" w:lineRule="exact"/>
        <w:ind w:firstLine="610"/>
        <w:rPr>
          <w:rFonts w:ascii="仿宋_GB2312" w:eastAsia="仿宋_GB2312"/>
          <w:sz w:val="24"/>
          <w:u w:val="single"/>
        </w:rPr>
      </w:pPr>
      <w:r>
        <w:rPr>
          <w:rFonts w:hint="eastAsia" w:ascii="仿宋_GB2312" w:hAnsi="宋体" w:eastAsia="仿宋_GB2312"/>
          <w:sz w:val="24"/>
        </w:rPr>
        <w:t>单位性质：</w:t>
      </w:r>
      <w:r>
        <w:rPr>
          <w:rFonts w:hint="eastAsia" w:ascii="仿宋_GB2312" w:hAnsi="宋体" w:eastAsia="仿宋_GB2312"/>
          <w:sz w:val="24"/>
          <w:u w:val="single"/>
        </w:rPr>
        <w:t xml:space="preserve">                             </w:t>
      </w:r>
    </w:p>
    <w:p>
      <w:pPr>
        <w:spacing w:beforeLines="20" w:afterLines="20" w:line="540" w:lineRule="exact"/>
        <w:ind w:firstLine="610"/>
        <w:rPr>
          <w:rFonts w:ascii="仿宋_GB2312" w:eastAsia="仿宋_GB2312"/>
          <w:sz w:val="24"/>
        </w:rPr>
      </w:pPr>
      <w:r>
        <w:rPr>
          <w:rFonts w:hint="eastAsia" w:ascii="仿宋_GB2312" w:hAnsi="宋体" w:eastAsia="仿宋_GB2312"/>
          <w:sz w:val="24"/>
        </w:rPr>
        <w:t>地址：</w:t>
      </w:r>
      <w:r>
        <w:rPr>
          <w:rFonts w:hint="eastAsia" w:ascii="仿宋_GB2312" w:eastAsia="仿宋_GB2312"/>
          <w:sz w:val="24"/>
          <w:u w:val="single"/>
        </w:rPr>
        <w:tab/>
      </w:r>
      <w:r>
        <w:rPr>
          <w:rFonts w:hint="eastAsia" w:ascii="仿宋_GB2312" w:eastAsia="仿宋_GB2312"/>
          <w:sz w:val="24"/>
          <w:u w:val="single"/>
        </w:rPr>
        <w:tab/>
      </w:r>
      <w:r>
        <w:rPr>
          <w:rFonts w:hint="eastAsia" w:ascii="仿宋_GB2312" w:eastAsia="仿宋_GB2312"/>
          <w:sz w:val="24"/>
          <w:u w:val="single"/>
        </w:rPr>
        <w:tab/>
      </w:r>
      <w:r>
        <w:rPr>
          <w:rFonts w:hint="eastAsia" w:ascii="仿宋_GB2312" w:eastAsia="仿宋_GB2312"/>
          <w:sz w:val="24"/>
          <w:u w:val="single"/>
        </w:rPr>
        <w:tab/>
      </w:r>
      <w:r>
        <w:rPr>
          <w:rFonts w:hint="eastAsia" w:ascii="仿宋_GB2312" w:eastAsia="仿宋_GB2312"/>
          <w:sz w:val="24"/>
          <w:u w:val="single"/>
        </w:rPr>
        <w:tab/>
      </w:r>
      <w:r>
        <w:rPr>
          <w:rFonts w:hint="eastAsia" w:ascii="仿宋_GB2312" w:eastAsia="仿宋_GB2312"/>
          <w:sz w:val="24"/>
          <w:u w:val="single"/>
        </w:rPr>
        <w:tab/>
      </w:r>
      <w:r>
        <w:rPr>
          <w:rFonts w:hint="eastAsia" w:ascii="仿宋_GB2312" w:eastAsia="仿宋_GB2312"/>
          <w:sz w:val="24"/>
          <w:u w:val="single"/>
        </w:rPr>
        <w:tab/>
      </w:r>
      <w:r>
        <w:rPr>
          <w:rFonts w:hint="eastAsia" w:ascii="仿宋_GB2312" w:eastAsia="仿宋_GB2312"/>
          <w:sz w:val="24"/>
          <w:u w:val="single"/>
        </w:rPr>
        <w:tab/>
      </w:r>
      <w:r>
        <w:rPr>
          <w:rFonts w:hint="eastAsia" w:ascii="仿宋_GB2312" w:eastAsia="仿宋_GB2312"/>
          <w:sz w:val="24"/>
          <w:u w:val="single"/>
        </w:rPr>
        <w:tab/>
      </w:r>
      <w:r>
        <w:rPr>
          <w:rFonts w:hint="eastAsia" w:ascii="仿宋_GB2312" w:eastAsia="仿宋_GB2312"/>
          <w:sz w:val="24"/>
          <w:u w:val="single"/>
        </w:rPr>
        <w:t xml:space="preserve">  </w:t>
      </w:r>
    </w:p>
    <w:p>
      <w:pPr>
        <w:spacing w:beforeLines="20" w:afterLines="20" w:line="540" w:lineRule="exact"/>
        <w:ind w:firstLine="610"/>
        <w:rPr>
          <w:rFonts w:ascii="仿宋_GB2312" w:eastAsia="仿宋_GB2312"/>
          <w:sz w:val="24"/>
        </w:rPr>
      </w:pPr>
      <w:r>
        <w:rPr>
          <w:rFonts w:hint="eastAsia" w:ascii="仿宋_GB2312" w:hAnsi="宋体" w:eastAsia="仿宋_GB2312"/>
          <w:sz w:val="24"/>
        </w:rPr>
        <w:t>成立时间：</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spacing w:beforeLines="20" w:afterLines="20" w:line="540" w:lineRule="exact"/>
        <w:ind w:firstLine="610"/>
        <w:rPr>
          <w:rFonts w:ascii="仿宋_GB2312" w:eastAsia="仿宋_GB2312"/>
          <w:sz w:val="24"/>
        </w:rPr>
      </w:pPr>
      <w:r>
        <w:rPr>
          <w:rFonts w:hint="eastAsia" w:ascii="仿宋_GB2312" w:hAnsi="宋体" w:eastAsia="仿宋_GB2312"/>
          <w:sz w:val="24"/>
        </w:rPr>
        <w:t>经营期限：</w:t>
      </w:r>
      <w:r>
        <w:rPr>
          <w:rFonts w:hint="eastAsia" w:ascii="仿宋_GB2312" w:hAnsi="宋体" w:eastAsia="仿宋_GB2312"/>
          <w:sz w:val="24"/>
          <w:u w:val="single"/>
        </w:rPr>
        <w:t xml:space="preserve">                            </w:t>
      </w:r>
      <w:r>
        <w:rPr>
          <w:rFonts w:hint="eastAsia" w:ascii="仿宋_GB2312" w:eastAsia="仿宋_GB2312"/>
          <w:sz w:val="24"/>
        </w:rPr>
        <w:tab/>
      </w:r>
    </w:p>
    <w:p>
      <w:pPr>
        <w:spacing w:beforeLines="20" w:afterLines="20" w:line="540" w:lineRule="exact"/>
        <w:ind w:firstLine="610"/>
        <w:rPr>
          <w:rFonts w:ascii="仿宋_GB2312" w:eastAsia="仿宋_GB2312"/>
          <w:sz w:val="24"/>
          <w:u w:val="single"/>
        </w:rPr>
      </w:pPr>
      <w:r>
        <w:rPr>
          <w:rFonts w:hint="eastAsia" w:ascii="仿宋_GB2312" w:hAnsi="宋体" w:eastAsia="仿宋_GB2312"/>
          <w:sz w:val="24"/>
        </w:rPr>
        <w:t>姓名：</w:t>
      </w:r>
      <w:r>
        <w:rPr>
          <w:rFonts w:hint="eastAsia" w:ascii="仿宋_GB2312" w:hAnsi="宋体" w:eastAsia="仿宋_GB2312"/>
          <w:sz w:val="24"/>
          <w:u w:val="single"/>
        </w:rPr>
        <w:t xml:space="preserve">              </w:t>
      </w:r>
      <w:r>
        <w:rPr>
          <w:rFonts w:hint="eastAsia" w:ascii="仿宋_GB2312" w:hAnsi="宋体" w:eastAsia="仿宋_GB2312"/>
          <w:sz w:val="24"/>
        </w:rPr>
        <w:t xml:space="preserve"> 性别：</w:t>
      </w:r>
      <w:r>
        <w:rPr>
          <w:rFonts w:hint="eastAsia" w:ascii="仿宋_GB2312" w:hAnsi="宋体" w:eastAsia="仿宋_GB2312"/>
          <w:sz w:val="24"/>
          <w:u w:val="single"/>
        </w:rPr>
        <w:t xml:space="preserve">           </w:t>
      </w:r>
    </w:p>
    <w:p>
      <w:pPr>
        <w:spacing w:beforeLines="20" w:afterLines="20" w:line="540" w:lineRule="exact"/>
        <w:ind w:firstLine="610"/>
        <w:rPr>
          <w:rFonts w:ascii="仿宋_GB2312" w:eastAsia="仿宋_GB2312"/>
          <w:sz w:val="24"/>
          <w:u w:val="single"/>
        </w:rPr>
      </w:pPr>
      <w:r>
        <w:rPr>
          <w:rFonts w:hint="eastAsia" w:ascii="仿宋_GB2312" w:hAnsi="宋体" w:eastAsia="仿宋_GB2312"/>
          <w:sz w:val="24"/>
        </w:rPr>
        <w:t>年龄：</w:t>
      </w:r>
      <w:r>
        <w:rPr>
          <w:rFonts w:hint="eastAsia" w:ascii="仿宋_GB2312" w:hAnsi="宋体" w:eastAsia="仿宋_GB2312"/>
          <w:sz w:val="24"/>
          <w:u w:val="single"/>
        </w:rPr>
        <w:t xml:space="preserve">               </w:t>
      </w:r>
      <w:r>
        <w:rPr>
          <w:rFonts w:hint="eastAsia" w:ascii="仿宋_GB2312" w:hAnsi="宋体" w:eastAsia="仿宋_GB2312"/>
          <w:sz w:val="24"/>
        </w:rPr>
        <w:t>职务：</w:t>
      </w:r>
      <w:r>
        <w:rPr>
          <w:rFonts w:hint="eastAsia" w:ascii="仿宋_GB2312" w:hAnsi="宋体" w:eastAsia="仿宋_GB2312"/>
          <w:sz w:val="24"/>
          <w:u w:val="single"/>
        </w:rPr>
        <w:t xml:space="preserve">           </w:t>
      </w:r>
      <w:r>
        <w:rPr>
          <w:rFonts w:hint="eastAsia" w:ascii="仿宋_GB2312" w:eastAsia="仿宋_GB2312"/>
          <w:sz w:val="24"/>
        </w:rPr>
        <w:tab/>
      </w:r>
    </w:p>
    <w:p>
      <w:pPr>
        <w:spacing w:beforeLines="20" w:afterLines="20" w:line="540" w:lineRule="exact"/>
        <w:ind w:firstLine="610"/>
        <w:rPr>
          <w:rFonts w:ascii="仿宋_GB2312" w:eastAsia="仿宋_GB2312"/>
          <w:sz w:val="24"/>
        </w:rPr>
      </w:pPr>
      <w:r>
        <w:rPr>
          <w:rFonts w:hint="eastAsia" w:ascii="仿宋_GB2312" w:hAnsi="宋体" w:eastAsia="仿宋_GB2312"/>
          <w:sz w:val="24"/>
        </w:rPr>
        <w:t xml:space="preserve">系 </w:t>
      </w:r>
      <w:r>
        <w:rPr>
          <w:rFonts w:hint="eastAsia" w:ascii="仿宋_GB2312" w:hAnsi="宋体" w:eastAsia="仿宋_GB2312"/>
          <w:sz w:val="24"/>
          <w:u w:val="single"/>
        </w:rPr>
        <w:t xml:space="preserve">     （投标人单位名称）      </w:t>
      </w:r>
      <w:r>
        <w:rPr>
          <w:rFonts w:hint="eastAsia" w:ascii="仿宋_GB2312" w:hAnsi="宋体" w:eastAsia="仿宋_GB2312"/>
          <w:sz w:val="24"/>
        </w:rPr>
        <w:t>的法定代表人。</w:t>
      </w:r>
    </w:p>
    <w:p>
      <w:pPr>
        <w:spacing w:beforeLines="20" w:afterLines="20" w:line="540" w:lineRule="exact"/>
        <w:ind w:firstLine="610"/>
        <w:rPr>
          <w:rFonts w:ascii="仿宋_GB2312" w:eastAsia="仿宋_GB2312"/>
        </w:rPr>
      </w:pPr>
    </w:p>
    <w:p>
      <w:pPr>
        <w:pStyle w:val="19"/>
        <w:spacing w:beforeLines="20" w:afterLines="20" w:line="540" w:lineRule="exact"/>
        <w:ind w:firstLine="240" w:firstLineChars="100"/>
        <w:rPr>
          <w:rFonts w:ascii="仿宋_GB2312" w:hAnsi="宋体" w:eastAsia="仿宋_GB2312"/>
          <w:sz w:val="24"/>
        </w:rPr>
      </w:pPr>
      <w:r>
        <w:rPr>
          <w:rFonts w:hint="eastAsia" w:ascii="仿宋_GB2312" w:hAnsi="宋体" w:eastAsia="仿宋_GB2312"/>
          <w:sz w:val="24"/>
        </w:rPr>
        <w:t>特此证明。</w:t>
      </w:r>
    </w:p>
    <w:p>
      <w:pPr>
        <w:tabs>
          <w:tab w:val="left" w:pos="720"/>
          <w:tab w:val="left" w:pos="900"/>
        </w:tabs>
        <w:spacing w:beforeLines="20" w:afterLines="20" w:line="540" w:lineRule="exact"/>
        <w:ind w:firstLine="4560" w:firstLineChars="1900"/>
        <w:rPr>
          <w:rFonts w:ascii="仿宋_GB2312" w:eastAsia="仿宋_GB2312"/>
          <w:sz w:val="24"/>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4794" w:type="dxa"/>
            <w:shd w:val="clear" w:color="auto" w:fill="auto"/>
            <w:vAlign w:val="center"/>
          </w:tcPr>
          <w:p>
            <w:pPr>
              <w:spacing w:beforeLines="20" w:afterLines="20" w:line="540" w:lineRule="exact"/>
              <w:jc w:val="center"/>
              <w:rPr>
                <w:rFonts w:ascii="仿宋_GB2312" w:eastAsia="仿宋_GB2312"/>
              </w:rPr>
            </w:pPr>
            <w:r>
              <w:rPr>
                <w:rFonts w:hint="eastAsia" w:ascii="仿宋_GB2312" w:hAnsi="宋体" w:eastAsia="仿宋_GB2312"/>
                <w:b/>
                <w:sz w:val="28"/>
                <w:szCs w:val="28"/>
              </w:rPr>
              <w:t>法定代表人身份证复印件</w:t>
            </w:r>
          </w:p>
        </w:tc>
      </w:tr>
    </w:tbl>
    <w:p>
      <w:pPr>
        <w:tabs>
          <w:tab w:val="left" w:pos="720"/>
          <w:tab w:val="left" w:pos="900"/>
        </w:tabs>
        <w:spacing w:beforeLines="20" w:afterLines="20" w:line="540" w:lineRule="exact"/>
        <w:ind w:firstLine="4920" w:firstLineChars="2050"/>
        <w:rPr>
          <w:rFonts w:ascii="仿宋_GB2312" w:eastAsia="仿宋_GB2312"/>
          <w:sz w:val="24"/>
        </w:rPr>
      </w:pPr>
      <w:r>
        <w:rPr>
          <w:rFonts w:hint="eastAsia" w:ascii="仿宋_GB2312" w:hAnsi="宋体" w:eastAsia="仿宋_GB2312"/>
          <w:sz w:val="24"/>
        </w:rPr>
        <w:t xml:space="preserve">投标人： </w:t>
      </w:r>
      <w:r>
        <w:rPr>
          <w:rFonts w:hint="eastAsia" w:ascii="仿宋_GB2312" w:hAnsi="宋体" w:eastAsia="仿宋_GB2312"/>
          <w:sz w:val="24"/>
          <w:u w:val="single"/>
        </w:rPr>
        <w:t xml:space="preserve">     （盖单位章）    </w:t>
      </w:r>
    </w:p>
    <w:p>
      <w:pPr>
        <w:spacing w:beforeLines="20" w:afterLines="20" w:line="540" w:lineRule="exact"/>
        <w:ind w:firstLine="4920" w:firstLineChars="2050"/>
        <w:rPr>
          <w:rFonts w:ascii="仿宋_GB2312" w:eastAsia="仿宋_GB2312"/>
          <w:b/>
          <w:sz w:val="32"/>
        </w:rPr>
      </w:pPr>
      <w:r>
        <w:rPr>
          <w:rFonts w:hint="eastAsia" w:ascii="仿宋_GB2312" w:hAnsi="宋体" w:eastAsia="仿宋_GB2312"/>
          <w:sz w:val="24"/>
        </w:rPr>
        <w:t>日期：</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spacing w:beforeLines="20" w:afterLines="20" w:line="540" w:lineRule="exact"/>
        <w:rPr>
          <w:rFonts w:ascii="仿宋_GB2312" w:eastAsia="仿宋_GB2312"/>
        </w:rPr>
      </w:pPr>
    </w:p>
    <w:p>
      <w:pPr>
        <w:pStyle w:val="4"/>
        <w:spacing w:beforeLines="20" w:afterLines="20" w:line="540" w:lineRule="exact"/>
        <w:rPr>
          <w:rFonts w:ascii="仿宋_GB2312" w:eastAsia="仿宋_GB2312"/>
        </w:rPr>
      </w:pPr>
    </w:p>
    <w:p>
      <w:pPr>
        <w:pStyle w:val="26"/>
        <w:jc w:val="center"/>
        <w:rPr>
          <w:rFonts w:ascii="仿宋_GB2312" w:eastAsia="仿宋_GB2312"/>
          <w:b/>
          <w:sz w:val="28"/>
          <w:szCs w:val="28"/>
        </w:rPr>
        <w:sectPr>
          <w:pgSz w:w="11907" w:h="16840"/>
          <w:pgMar w:top="1298" w:right="1077" w:bottom="1060" w:left="1077" w:header="851" w:footer="737" w:gutter="0"/>
          <w:cols w:space="720" w:num="1"/>
          <w:docGrid w:type="lines" w:linePitch="476" w:charSpace="0"/>
        </w:sectPr>
      </w:pPr>
      <w:bookmarkStart w:id="602" w:name="_Toc171741991"/>
      <w:bookmarkStart w:id="603" w:name="_Toc171581368"/>
      <w:bookmarkStart w:id="604" w:name="_Toc171581548"/>
    </w:p>
    <w:p>
      <w:pPr>
        <w:pStyle w:val="26"/>
        <w:jc w:val="center"/>
        <w:rPr>
          <w:rFonts w:ascii="仿宋_GB2312" w:eastAsia="仿宋_GB2312"/>
          <w:b/>
          <w:sz w:val="28"/>
          <w:szCs w:val="28"/>
        </w:rPr>
      </w:pPr>
      <w:r>
        <w:rPr>
          <w:rFonts w:hint="eastAsia" w:ascii="仿宋_GB2312" w:eastAsia="仿宋_GB2312"/>
          <w:b/>
          <w:sz w:val="28"/>
          <w:szCs w:val="28"/>
        </w:rPr>
        <w:t>二、授权委托书</w:t>
      </w:r>
      <w:bookmarkEnd w:id="602"/>
      <w:bookmarkEnd w:id="603"/>
      <w:bookmarkEnd w:id="604"/>
    </w:p>
    <w:p>
      <w:pPr>
        <w:pStyle w:val="21"/>
        <w:adjustRightInd w:val="0"/>
        <w:snapToGrid w:val="0"/>
        <w:spacing w:beforeLines="20" w:afterLines="20" w:line="540" w:lineRule="exact"/>
        <w:ind w:firstLine="960" w:firstLineChars="400"/>
        <w:rPr>
          <w:rFonts w:ascii="仿宋_GB2312" w:eastAsia="仿宋_GB2312"/>
          <w:sz w:val="24"/>
        </w:rPr>
      </w:pPr>
    </w:p>
    <w:p>
      <w:pPr>
        <w:pStyle w:val="21"/>
        <w:adjustRightInd w:val="0"/>
        <w:snapToGrid w:val="0"/>
        <w:spacing w:beforeLines="20" w:afterLines="20" w:line="540" w:lineRule="exact"/>
        <w:ind w:firstLine="480" w:firstLineChars="200"/>
        <w:rPr>
          <w:rFonts w:ascii="仿宋_GB2312" w:eastAsia="仿宋_GB2312"/>
          <w:sz w:val="24"/>
        </w:rPr>
      </w:pPr>
      <w:r>
        <w:rPr>
          <w:rFonts w:hint="eastAsia" w:ascii="仿宋_GB2312" w:hAnsi="宋体" w:eastAsia="仿宋_GB2312"/>
          <w:sz w:val="24"/>
        </w:rPr>
        <w:t>本授权委托书声明：我</w:t>
      </w:r>
      <w:r>
        <w:rPr>
          <w:rFonts w:hint="eastAsia" w:ascii="仿宋_GB2312" w:hAnsi="宋体" w:eastAsia="仿宋_GB2312"/>
          <w:sz w:val="24"/>
          <w:u w:val="single"/>
        </w:rPr>
        <w:t>（姓名）</w:t>
      </w:r>
      <w:r>
        <w:rPr>
          <w:rFonts w:hint="eastAsia" w:ascii="仿宋_GB2312" w:hAnsi="宋体" w:eastAsia="仿宋_GB2312"/>
          <w:sz w:val="24"/>
        </w:rPr>
        <w:t>系</w:t>
      </w:r>
      <w:r>
        <w:rPr>
          <w:rFonts w:hint="eastAsia" w:ascii="仿宋_GB2312" w:hAnsi="宋体" w:eastAsia="仿宋_GB2312"/>
          <w:sz w:val="24"/>
          <w:u w:val="single"/>
        </w:rPr>
        <w:t xml:space="preserve">（投标人名称）    </w:t>
      </w:r>
      <w:r>
        <w:rPr>
          <w:rFonts w:hint="eastAsia" w:ascii="仿宋_GB2312" w:hAnsi="宋体" w:eastAsia="仿宋_GB2312"/>
          <w:sz w:val="24"/>
        </w:rPr>
        <w:t>的法定代表人，现授权委托</w:t>
      </w:r>
      <w:r>
        <w:rPr>
          <w:rFonts w:hint="eastAsia" w:ascii="仿宋_GB2312" w:hAnsi="宋体" w:eastAsia="仿宋_GB2312"/>
          <w:sz w:val="24"/>
          <w:u w:val="single"/>
        </w:rPr>
        <w:t>（单位名称）</w:t>
      </w:r>
      <w:r>
        <w:rPr>
          <w:rFonts w:hint="eastAsia" w:ascii="仿宋_GB2312" w:hAnsi="宋体" w:eastAsia="仿宋_GB2312"/>
          <w:sz w:val="24"/>
        </w:rPr>
        <w:t>的</w:t>
      </w:r>
      <w:r>
        <w:rPr>
          <w:rFonts w:hint="eastAsia" w:ascii="仿宋_GB2312" w:hAnsi="宋体" w:eastAsia="仿宋_GB2312"/>
          <w:sz w:val="24"/>
          <w:u w:val="single"/>
        </w:rPr>
        <w:t xml:space="preserve"> （姓名） </w:t>
      </w:r>
      <w:r>
        <w:rPr>
          <w:rFonts w:hint="eastAsia" w:ascii="仿宋_GB2312" w:hAnsi="宋体" w:eastAsia="仿宋_GB2312"/>
          <w:sz w:val="24"/>
        </w:rPr>
        <w:t>为我公司的合法代理人，就</w:t>
      </w:r>
      <w:r>
        <w:rPr>
          <w:rFonts w:hint="eastAsia" w:ascii="仿宋_GB2312" w:hAnsi="宋体" w:eastAsia="仿宋_GB2312"/>
          <w:sz w:val="24"/>
          <w:u w:val="single"/>
        </w:rPr>
        <w:t xml:space="preserve">（项目名称） </w:t>
      </w:r>
      <w:r>
        <w:rPr>
          <w:rFonts w:hint="eastAsia" w:ascii="仿宋_GB2312" w:hAnsi="宋体" w:eastAsia="仿宋_GB2312"/>
          <w:sz w:val="24"/>
        </w:rPr>
        <w:t>的投标、施工、竣工和保修，以本公司的名义签署投标书，解释投标文件，进行谈判、签署合同和处理与之有关的一切事宜。</w:t>
      </w:r>
    </w:p>
    <w:p>
      <w:pPr>
        <w:pStyle w:val="19"/>
        <w:adjustRightInd w:val="0"/>
        <w:snapToGrid w:val="0"/>
        <w:spacing w:beforeLines="20" w:afterLines="20" w:line="540" w:lineRule="exact"/>
        <w:rPr>
          <w:rFonts w:ascii="仿宋_GB2312" w:eastAsia="仿宋_GB2312"/>
        </w:rPr>
      </w:pPr>
      <w:r>
        <w:rPr>
          <w:rFonts w:hint="eastAsia" w:ascii="仿宋_GB2312" w:hAnsi="宋体" w:eastAsia="仿宋_GB2312"/>
          <w:sz w:val="24"/>
        </w:rPr>
        <w:t>代理人无转委托权，特此委托</w:t>
      </w:r>
      <w:r>
        <w:rPr>
          <w:rFonts w:hint="eastAsia" w:ascii="仿宋_GB2312" w:hAnsi="宋体" w:eastAsia="仿宋_GB2312"/>
        </w:rPr>
        <w:t>。</w:t>
      </w:r>
    </w:p>
    <w:p>
      <w:pPr>
        <w:adjustRightInd w:val="0"/>
        <w:snapToGrid w:val="0"/>
        <w:spacing w:beforeLines="20" w:afterLines="20" w:line="540" w:lineRule="exact"/>
        <w:ind w:left="1260"/>
        <w:rPr>
          <w:rFonts w:ascii="仿宋_GB2312" w:eastAsia="仿宋_GB2312"/>
          <w:sz w:val="24"/>
        </w:rPr>
      </w:pPr>
    </w:p>
    <w:p>
      <w:pPr>
        <w:adjustRightInd w:val="0"/>
        <w:snapToGrid w:val="0"/>
        <w:spacing w:beforeLines="20" w:afterLines="20" w:line="540" w:lineRule="exact"/>
        <w:ind w:firstLine="1200" w:firstLineChars="500"/>
        <w:rPr>
          <w:rFonts w:ascii="仿宋_GB2312" w:eastAsia="仿宋_GB2312"/>
          <w:sz w:val="24"/>
          <w:u w:val="single"/>
        </w:rPr>
      </w:pPr>
      <w:r>
        <w:rPr>
          <w:rFonts w:hint="eastAsia" w:ascii="仿宋_GB2312" w:hAnsi="宋体" w:eastAsia="仿宋_GB2312"/>
          <w:sz w:val="24"/>
        </w:rPr>
        <w:t>代理人：</w:t>
      </w:r>
      <w:r>
        <w:rPr>
          <w:rFonts w:hint="eastAsia" w:ascii="仿宋_GB2312" w:hAnsi="宋体" w:eastAsia="仿宋_GB2312"/>
          <w:sz w:val="24"/>
          <w:u w:val="single"/>
        </w:rPr>
        <w:t xml:space="preserve">          </w:t>
      </w:r>
      <w:r>
        <w:rPr>
          <w:rFonts w:hint="eastAsia" w:ascii="仿宋_GB2312" w:hAnsi="宋体" w:eastAsia="仿宋_GB2312"/>
          <w:sz w:val="24"/>
        </w:rPr>
        <w:t>性别：</w:t>
      </w:r>
      <w:r>
        <w:rPr>
          <w:rFonts w:hint="eastAsia" w:ascii="仿宋_GB2312" w:hAnsi="宋体" w:eastAsia="仿宋_GB2312"/>
          <w:sz w:val="24"/>
          <w:u w:val="single"/>
        </w:rPr>
        <w:t xml:space="preserve">          </w:t>
      </w:r>
      <w:r>
        <w:rPr>
          <w:rFonts w:hint="eastAsia" w:ascii="仿宋_GB2312" w:hAnsi="宋体" w:eastAsia="仿宋_GB2312"/>
          <w:sz w:val="24"/>
        </w:rPr>
        <w:t>年龄：</w:t>
      </w:r>
      <w:r>
        <w:rPr>
          <w:rFonts w:hint="eastAsia" w:ascii="仿宋_GB2312" w:hAnsi="宋体" w:eastAsia="仿宋_GB2312"/>
          <w:sz w:val="24"/>
          <w:u w:val="single"/>
        </w:rPr>
        <w:t xml:space="preserve">           </w:t>
      </w:r>
    </w:p>
    <w:p>
      <w:pPr>
        <w:adjustRightInd w:val="0"/>
        <w:snapToGrid w:val="0"/>
        <w:spacing w:beforeLines="20" w:afterLines="20" w:line="540" w:lineRule="exact"/>
        <w:ind w:left="2699"/>
        <w:rPr>
          <w:rFonts w:ascii="仿宋_GB2312" w:eastAsia="仿宋_GB2312"/>
          <w:sz w:val="24"/>
        </w:rPr>
      </w:pPr>
    </w:p>
    <w:p>
      <w:pPr>
        <w:adjustRightInd w:val="0"/>
        <w:snapToGrid w:val="0"/>
        <w:spacing w:beforeLines="20" w:afterLines="20" w:line="540" w:lineRule="exact"/>
        <w:ind w:left="1200"/>
        <w:rPr>
          <w:rFonts w:ascii="仿宋_GB2312" w:eastAsia="仿宋_GB2312"/>
          <w:sz w:val="24"/>
          <w:u w:val="single"/>
        </w:rPr>
      </w:pPr>
      <w:r>
        <w:rPr>
          <w:rFonts w:hint="eastAsia" w:ascii="仿宋_GB2312" w:hAnsi="宋体" w:eastAsia="仿宋_GB2312"/>
          <w:sz w:val="24"/>
        </w:rPr>
        <w:t>身份证号码：</w:t>
      </w:r>
      <w:r>
        <w:rPr>
          <w:rFonts w:hint="eastAsia" w:ascii="仿宋_GB2312" w:hAnsi="宋体" w:eastAsia="仿宋_GB2312"/>
          <w:sz w:val="24"/>
          <w:u w:val="single"/>
        </w:rPr>
        <w:t xml:space="preserve">                      </w:t>
      </w:r>
      <w:r>
        <w:rPr>
          <w:rFonts w:hint="eastAsia" w:ascii="仿宋_GB2312" w:hAnsi="宋体" w:eastAsia="仿宋_GB2312"/>
          <w:sz w:val="24"/>
        </w:rPr>
        <w:t>职务：</w:t>
      </w:r>
      <w:r>
        <w:rPr>
          <w:rFonts w:hint="eastAsia" w:ascii="仿宋_GB2312" w:hAnsi="宋体" w:eastAsia="仿宋_GB2312"/>
          <w:sz w:val="24"/>
          <w:u w:val="single"/>
        </w:rPr>
        <w:t xml:space="preserve">           </w:t>
      </w:r>
    </w:p>
    <w:p>
      <w:pPr>
        <w:adjustRightInd w:val="0"/>
        <w:snapToGrid w:val="0"/>
        <w:spacing w:beforeLines="20" w:afterLines="20" w:line="540" w:lineRule="exact"/>
        <w:ind w:left="2699"/>
        <w:rPr>
          <w:rFonts w:ascii="仿宋_GB2312" w:eastAsia="仿宋_GB2312"/>
          <w:sz w:val="24"/>
        </w:rPr>
      </w:pPr>
    </w:p>
    <w:p>
      <w:pPr>
        <w:adjustRightInd w:val="0"/>
        <w:snapToGrid w:val="0"/>
        <w:spacing w:beforeLines="20" w:afterLines="20" w:line="540" w:lineRule="exact"/>
        <w:ind w:left="1200"/>
        <w:rPr>
          <w:rFonts w:ascii="仿宋_GB2312" w:eastAsia="仿宋_GB2312"/>
          <w:sz w:val="24"/>
        </w:rPr>
      </w:pPr>
      <w:r>
        <w:rPr>
          <w:rFonts w:hint="eastAsia" w:ascii="仿宋_GB2312" w:hAnsi="宋体" w:eastAsia="仿宋_GB2312"/>
          <w:sz w:val="24"/>
        </w:rPr>
        <w:t>投标人：</w:t>
      </w:r>
      <w:r>
        <w:rPr>
          <w:rFonts w:hint="eastAsia" w:ascii="仿宋_GB2312" w:hAnsi="宋体" w:eastAsia="仿宋_GB2312"/>
          <w:sz w:val="24"/>
          <w:u w:val="single"/>
        </w:rPr>
        <w:t xml:space="preserve">                  （盖单位章）            </w:t>
      </w:r>
    </w:p>
    <w:p>
      <w:pPr>
        <w:adjustRightInd w:val="0"/>
        <w:snapToGrid w:val="0"/>
        <w:spacing w:beforeLines="20" w:afterLines="20" w:line="540" w:lineRule="exact"/>
        <w:ind w:left="2699"/>
        <w:rPr>
          <w:rFonts w:ascii="仿宋_GB2312" w:eastAsia="仿宋_GB2312"/>
          <w:sz w:val="24"/>
        </w:rPr>
      </w:pPr>
    </w:p>
    <w:p>
      <w:pPr>
        <w:adjustRightInd w:val="0"/>
        <w:snapToGrid w:val="0"/>
        <w:spacing w:beforeLines="20" w:afterLines="20" w:line="540" w:lineRule="exact"/>
        <w:ind w:left="1200"/>
        <w:rPr>
          <w:rFonts w:ascii="仿宋_GB2312" w:eastAsia="仿宋_GB2312"/>
          <w:sz w:val="24"/>
        </w:rPr>
      </w:pPr>
      <w:r>
        <w:rPr>
          <w:rFonts w:hint="eastAsia" w:ascii="仿宋_GB2312" w:hAnsi="宋体" w:eastAsia="仿宋_GB2312"/>
          <w:sz w:val="24"/>
        </w:rPr>
        <w:t>法定代表人或企业负责人：</w:t>
      </w:r>
      <w:r>
        <w:rPr>
          <w:rFonts w:hint="eastAsia" w:ascii="仿宋_GB2312" w:hAnsi="宋体" w:eastAsia="仿宋_GB2312"/>
          <w:sz w:val="24"/>
          <w:u w:val="single"/>
        </w:rPr>
        <w:t xml:space="preserve">    （签字或个人印鉴章）  </w:t>
      </w:r>
    </w:p>
    <w:p>
      <w:pPr>
        <w:adjustRightInd w:val="0"/>
        <w:snapToGrid w:val="0"/>
        <w:spacing w:beforeLines="20" w:afterLines="20" w:line="540" w:lineRule="exact"/>
        <w:ind w:left="2699"/>
        <w:rPr>
          <w:rFonts w:ascii="仿宋_GB2312" w:eastAsia="仿宋_GB2312"/>
          <w:sz w:val="24"/>
        </w:rPr>
      </w:pPr>
    </w:p>
    <w:p>
      <w:pPr>
        <w:adjustRightInd w:val="0"/>
        <w:snapToGrid w:val="0"/>
        <w:spacing w:beforeLines="20" w:afterLines="20" w:line="540" w:lineRule="exact"/>
        <w:ind w:left="2833" w:leftChars="1349" w:firstLine="2400" w:firstLineChars="1000"/>
        <w:rPr>
          <w:rFonts w:ascii="仿宋_GB2312" w:eastAsia="仿宋_GB2312"/>
          <w:sz w:val="24"/>
        </w:rPr>
      </w:pPr>
    </w:p>
    <w:p>
      <w:pPr>
        <w:adjustRightInd w:val="0"/>
        <w:snapToGrid w:val="0"/>
        <w:spacing w:beforeLines="20" w:afterLines="20" w:line="540" w:lineRule="exact"/>
        <w:ind w:left="2833" w:leftChars="1349" w:firstLine="2400" w:firstLineChars="1000"/>
        <w:rPr>
          <w:rFonts w:ascii="仿宋_GB2312" w:eastAsia="仿宋_GB2312"/>
          <w:sz w:val="24"/>
        </w:rPr>
      </w:pPr>
    </w:p>
    <w:p>
      <w:pPr>
        <w:adjustRightInd w:val="0"/>
        <w:snapToGrid w:val="0"/>
        <w:spacing w:beforeLines="20" w:afterLines="20" w:line="540" w:lineRule="exact"/>
        <w:ind w:left="2833" w:leftChars="1349" w:firstLine="2400" w:firstLineChars="1000"/>
        <w:rPr>
          <w:rFonts w:ascii="仿宋_GB2312" w:eastAsia="仿宋_GB2312"/>
          <w:sz w:val="24"/>
        </w:rPr>
      </w:pPr>
    </w:p>
    <w:p>
      <w:pPr>
        <w:pStyle w:val="21"/>
        <w:adjustRightInd w:val="0"/>
        <w:snapToGrid w:val="0"/>
        <w:spacing w:beforeLines="20" w:afterLines="20" w:line="540" w:lineRule="exact"/>
        <w:ind w:firstLine="480" w:firstLineChars="200"/>
        <w:jc w:val="right"/>
        <w:rPr>
          <w:rFonts w:ascii="仿宋_GB2312" w:hAnsi="宋体" w:eastAsia="仿宋_GB2312"/>
          <w:sz w:val="24"/>
        </w:rPr>
      </w:pPr>
      <w:bookmarkStart w:id="605" w:name="_Toc171581369"/>
      <w:bookmarkStart w:id="606" w:name="_Toc171741992"/>
      <w:bookmarkStart w:id="607" w:name="_Toc171581549"/>
      <w:r>
        <w:rPr>
          <w:rFonts w:hint="eastAsia" w:ascii="仿宋_GB2312" w:hAnsi="宋体" w:eastAsia="仿宋_GB2312"/>
          <w:sz w:val="24"/>
        </w:rPr>
        <w:t>授权委托日期：     年     月     日</w:t>
      </w:r>
      <w:bookmarkEnd w:id="605"/>
      <w:bookmarkEnd w:id="606"/>
      <w:bookmarkEnd w:id="607"/>
    </w:p>
    <w:p>
      <w:pPr>
        <w:pStyle w:val="26"/>
        <w:jc w:val="center"/>
        <w:rPr>
          <w:rFonts w:ascii="仿宋_GB2312" w:eastAsia="仿宋_GB2312"/>
          <w:b/>
          <w:sz w:val="28"/>
          <w:szCs w:val="28"/>
        </w:rPr>
        <w:sectPr>
          <w:pgSz w:w="11907" w:h="16840"/>
          <w:pgMar w:top="1298" w:right="1077" w:bottom="1060" w:left="1077" w:header="851" w:footer="737" w:gutter="0"/>
          <w:cols w:space="720" w:num="1"/>
          <w:docGrid w:type="lines" w:linePitch="476" w:charSpace="0"/>
        </w:sectPr>
      </w:pPr>
    </w:p>
    <w:p>
      <w:pPr>
        <w:jc w:val="center"/>
        <w:rPr>
          <w:rFonts w:ascii="宋体" w:hAnsi="宋体"/>
        </w:rPr>
      </w:pPr>
      <w:bookmarkStart w:id="608" w:name="_Toc185047519"/>
      <w:r>
        <w:rPr>
          <w:rFonts w:hint="eastAsia" w:ascii="仿宋_GB2312" w:hAnsi="Courier New" w:eastAsia="仿宋_GB2312" w:cs="Courier New"/>
          <w:b/>
          <w:sz w:val="28"/>
          <w:szCs w:val="28"/>
        </w:rPr>
        <w:t>三、</w:t>
      </w:r>
      <w:r>
        <w:rPr>
          <w:rFonts w:ascii="仿宋_GB2312" w:hAnsi="Courier New" w:eastAsia="仿宋_GB2312" w:cs="Courier New"/>
          <w:b/>
          <w:sz w:val="28"/>
          <w:szCs w:val="28"/>
        </w:rPr>
        <w:t xml:space="preserve"> </w:t>
      </w:r>
      <w:r>
        <w:rPr>
          <w:rFonts w:hint="eastAsia" w:ascii="仿宋_GB2312" w:hAnsi="Courier New" w:eastAsia="仿宋_GB2312" w:cs="Courier New"/>
          <w:b/>
          <w:sz w:val="28"/>
          <w:szCs w:val="28"/>
        </w:rPr>
        <w:t>联合体协议书</w:t>
      </w:r>
      <w:bookmarkEnd w:id="608"/>
      <w:r>
        <w:rPr>
          <w:rFonts w:ascii="仿宋_GB2312" w:hAnsi="Courier New" w:eastAsia="仿宋_GB2312" w:cs="Courier New"/>
          <w:b/>
          <w:sz w:val="28"/>
          <w:szCs w:val="28"/>
        </w:rPr>
        <w:t>(</w:t>
      </w:r>
      <w:r>
        <w:rPr>
          <w:rFonts w:hint="eastAsia" w:ascii="仿宋_GB2312" w:hAnsi="Courier New" w:eastAsia="仿宋_GB2312" w:cs="Courier New"/>
          <w:b/>
          <w:sz w:val="28"/>
          <w:szCs w:val="28"/>
        </w:rPr>
        <w:t>如有</w:t>
      </w:r>
      <w:r>
        <w:rPr>
          <w:rFonts w:ascii="仿宋_GB2312" w:hAnsi="Courier New" w:eastAsia="仿宋_GB2312" w:cs="Courier New"/>
          <w:b/>
          <w:sz w:val="28"/>
          <w:szCs w:val="28"/>
        </w:rPr>
        <w:t>)</w:t>
      </w:r>
    </w:p>
    <w:p>
      <w:pPr>
        <w:ind w:firstLine="420" w:firstLineChars="200"/>
        <w:rPr>
          <w:rFonts w:ascii="宋体" w:hAnsi="宋体"/>
        </w:rPr>
      </w:pPr>
    </w:p>
    <w:p>
      <w:pPr>
        <w:ind w:firstLine="420" w:firstLineChars="200"/>
        <w:rPr>
          <w:rFonts w:ascii="宋体" w:hAnsi="宋体"/>
        </w:rPr>
      </w:pPr>
      <w:r>
        <w:rPr>
          <w:rFonts w:ascii="宋体" w:hAnsi="宋体"/>
        </w:rPr>
        <w:t xml:space="preserve"> (</w:t>
      </w:r>
      <w:r>
        <w:rPr>
          <w:rFonts w:hint="eastAsia" w:ascii="宋体" w:hAnsi="宋体"/>
        </w:rPr>
        <w:t>所有成员单位名称</w:t>
      </w:r>
      <w:r>
        <w:rPr>
          <w:rFonts w:ascii="宋体" w:hAnsi="宋体"/>
        </w:rPr>
        <w:t>)</w:t>
      </w:r>
      <w:r>
        <w:rPr>
          <w:rFonts w:hint="eastAsia" w:ascii="宋体" w:hAnsi="宋体"/>
        </w:rPr>
        <w:t>自愿组成＿</w:t>
      </w:r>
      <w:r>
        <w:rPr>
          <w:rFonts w:ascii="宋体" w:hAnsi="宋体"/>
        </w:rPr>
        <w:t>(</w:t>
      </w:r>
      <w:r>
        <w:rPr>
          <w:rFonts w:hint="eastAsia" w:ascii="宋体" w:hAnsi="宋体"/>
        </w:rPr>
        <w:t>联合体名称</w:t>
      </w:r>
      <w:r>
        <w:rPr>
          <w:rFonts w:ascii="宋体" w:hAnsi="宋体"/>
        </w:rPr>
        <w:t>)</w:t>
      </w:r>
      <w:r>
        <w:rPr>
          <w:rFonts w:hint="eastAsia" w:ascii="宋体" w:hAnsi="宋体"/>
        </w:rPr>
        <w:t>联合体，共同参加</w:t>
      </w:r>
      <w:r>
        <w:rPr>
          <w:rFonts w:hint="eastAsia" w:ascii="宋体" w:hAnsi="宋体"/>
          <w:u w:val="single"/>
        </w:rPr>
        <w:t xml:space="preserve"> </w:t>
      </w:r>
      <w:r>
        <w:rPr>
          <w:rFonts w:ascii="宋体" w:hAnsi="宋体"/>
          <w:u w:val="single"/>
        </w:rPr>
        <w:t>(</w:t>
      </w:r>
      <w:r>
        <w:rPr>
          <w:rFonts w:hint="eastAsia" w:ascii="宋体" w:hAnsi="宋体"/>
          <w:u w:val="single"/>
        </w:rPr>
        <w:t>项目名称</w:t>
      </w:r>
      <w:r>
        <w:rPr>
          <w:rFonts w:ascii="宋体" w:hAnsi="宋体"/>
          <w:u w:val="single"/>
        </w:rPr>
        <w:t xml:space="preserve">)  </w:t>
      </w:r>
      <w:r>
        <w:rPr>
          <w:rFonts w:hint="eastAsia" w:ascii="宋体" w:hAnsi="宋体"/>
        </w:rPr>
        <w:t>标段投标。现就联合体投标事宜订立如下协议。</w:t>
      </w:r>
    </w:p>
    <w:p>
      <w:pPr>
        <w:ind w:firstLine="420" w:firstLineChars="200"/>
        <w:rPr>
          <w:rFonts w:ascii="宋体" w:hAnsi="宋体"/>
        </w:rPr>
      </w:pPr>
      <w:r>
        <w:rPr>
          <w:rFonts w:ascii="宋体" w:hAnsi="宋体"/>
        </w:rPr>
        <w:t>1</w:t>
      </w:r>
      <w:r>
        <w:rPr>
          <w:rFonts w:hint="eastAsia" w:ascii="宋体" w:hAnsi="宋体"/>
        </w:rPr>
        <w:t>、</w:t>
      </w:r>
      <w:r>
        <w:rPr>
          <w:rFonts w:ascii="宋体" w:hAnsi="宋体"/>
        </w:rPr>
        <w:t>(</w:t>
      </w:r>
      <w:r>
        <w:rPr>
          <w:rFonts w:hint="eastAsia" w:ascii="宋体" w:hAnsi="宋体"/>
        </w:rPr>
        <w:t>某成员单位名称</w:t>
      </w:r>
      <w:r>
        <w:rPr>
          <w:rFonts w:ascii="宋体" w:hAnsi="宋体"/>
        </w:rPr>
        <w:t>)</w:t>
      </w:r>
      <w:r>
        <w:rPr>
          <w:rFonts w:hint="eastAsia" w:ascii="宋体" w:hAnsi="宋体"/>
        </w:rPr>
        <w:t>为＿</w:t>
      </w:r>
      <w:r>
        <w:rPr>
          <w:rFonts w:ascii="宋体" w:hAnsi="宋体"/>
        </w:rPr>
        <w:t>(</w:t>
      </w:r>
      <w:r>
        <w:rPr>
          <w:rFonts w:hint="eastAsia" w:ascii="宋体" w:hAnsi="宋体"/>
        </w:rPr>
        <w:t>联合体名称</w:t>
      </w:r>
      <w:r>
        <w:rPr>
          <w:rFonts w:ascii="宋体" w:hAnsi="宋体"/>
        </w:rPr>
        <w:t>)</w:t>
      </w:r>
      <w:r>
        <w:rPr>
          <w:rFonts w:hint="eastAsia" w:ascii="宋体" w:hAnsi="宋体"/>
        </w:rPr>
        <w:t>牵头人。</w:t>
      </w:r>
    </w:p>
    <w:p>
      <w:pPr>
        <w:ind w:firstLine="420" w:firstLineChars="200"/>
        <w:rPr>
          <w:rFonts w:ascii="宋体" w:hAnsi="宋体"/>
        </w:rPr>
      </w:pPr>
      <w:r>
        <w:rPr>
          <w:rFonts w:ascii="宋体" w:hAnsi="宋体"/>
        </w:rPr>
        <w:t>2</w:t>
      </w:r>
      <w:r>
        <w:rPr>
          <w:rFonts w:hint="eastAsia" w:ascii="宋体" w:hAnsi="宋体"/>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pPr>
        <w:ind w:firstLine="420" w:firstLineChars="200"/>
        <w:rPr>
          <w:rFonts w:ascii="宋体" w:hAnsi="宋体"/>
        </w:rPr>
      </w:pPr>
      <w:r>
        <w:rPr>
          <w:rFonts w:ascii="宋体" w:hAnsi="宋体"/>
        </w:rPr>
        <w:t>3</w:t>
      </w:r>
      <w:r>
        <w:rPr>
          <w:rFonts w:hint="eastAsia" w:ascii="宋体" w:hAnsi="宋体"/>
        </w:rPr>
        <w:t>、联合体将严格按照招标文件的各项要求，递交投标文件，履行合同，并对外承担连带责任。</w:t>
      </w:r>
    </w:p>
    <w:p>
      <w:pPr>
        <w:ind w:firstLine="420" w:firstLineChars="200"/>
        <w:rPr>
          <w:rFonts w:ascii="宋体" w:hAnsi="宋体"/>
        </w:rPr>
      </w:pPr>
      <w:r>
        <w:rPr>
          <w:rFonts w:ascii="宋体" w:hAnsi="宋体"/>
        </w:rPr>
        <w:t>4</w:t>
      </w:r>
      <w:r>
        <w:rPr>
          <w:rFonts w:hint="eastAsia" w:ascii="宋体" w:hAnsi="宋体"/>
        </w:rPr>
        <w:t>、联合体各成员单位内部的职责分工如下：。</w:t>
      </w:r>
    </w:p>
    <w:p>
      <w:pPr>
        <w:ind w:firstLine="420" w:firstLineChars="200"/>
        <w:rPr>
          <w:rFonts w:ascii="宋体" w:hAnsi="宋体"/>
        </w:rPr>
      </w:pPr>
      <w:r>
        <w:rPr>
          <w:rFonts w:hint="eastAsia" w:ascii="宋体" w:hAnsi="宋体"/>
        </w:rPr>
        <w:t>5、本协议书及联合体授权委托书由联合体各方盖章、签章（签字）；投标文件其他内容由联合体牵头人负责盖章、签章（签字），牵头人盖章、签章（签字）即有效，对联合体各方具有约束力。</w:t>
      </w:r>
    </w:p>
    <w:p>
      <w:pPr>
        <w:ind w:firstLine="420" w:firstLineChars="200"/>
        <w:rPr>
          <w:rFonts w:ascii="宋体" w:hAnsi="宋体"/>
        </w:rPr>
      </w:pPr>
      <w:r>
        <w:rPr>
          <w:rFonts w:ascii="宋体" w:hAnsi="宋体"/>
        </w:rPr>
        <w:t>5</w:t>
      </w:r>
      <w:r>
        <w:rPr>
          <w:rFonts w:hint="eastAsia" w:ascii="宋体" w:hAnsi="宋体"/>
        </w:rPr>
        <w:t>、本协议书自签署之日起生效，合同履行完毕后自动失效。</w:t>
      </w:r>
    </w:p>
    <w:p>
      <w:pPr>
        <w:ind w:firstLine="420" w:firstLineChars="200"/>
        <w:rPr>
          <w:rFonts w:ascii="宋体" w:hAnsi="宋体"/>
        </w:rPr>
      </w:pPr>
      <w:r>
        <w:rPr>
          <w:rFonts w:ascii="宋体" w:hAnsi="宋体"/>
        </w:rPr>
        <w:t>6</w:t>
      </w:r>
      <w:r>
        <w:rPr>
          <w:rFonts w:hint="eastAsia" w:ascii="宋体" w:hAnsi="宋体"/>
        </w:rPr>
        <w:t>、本协议书一式份，联合体成员和招标人各执一份。</w:t>
      </w:r>
    </w:p>
    <w:p>
      <w:pPr>
        <w:rPr>
          <w:rFonts w:ascii="宋体" w:hAnsi="宋体"/>
        </w:rPr>
      </w:pPr>
    </w:p>
    <w:p>
      <w:pPr>
        <w:ind w:firstLine="1680" w:firstLineChars="800"/>
        <w:rPr>
          <w:rFonts w:ascii="宋体" w:hAnsi="宋体"/>
        </w:rPr>
      </w:pPr>
      <w:r>
        <w:rPr>
          <w:rFonts w:hint="eastAsia" w:ascii="宋体" w:hAnsi="宋体"/>
        </w:rPr>
        <w:t>牵头人名称：</w:t>
      </w:r>
      <w:r>
        <w:rPr>
          <w:rFonts w:ascii="宋体" w:hAnsi="宋体"/>
        </w:rPr>
        <w:t>(</w:t>
      </w:r>
      <w:r>
        <w:rPr>
          <w:rFonts w:hint="eastAsia" w:ascii="宋体" w:hAnsi="宋体"/>
        </w:rPr>
        <w:t>盖单位章</w:t>
      </w:r>
      <w:r>
        <w:rPr>
          <w:rFonts w:ascii="宋体" w:hAnsi="宋体"/>
        </w:rPr>
        <w:t>)</w:t>
      </w:r>
    </w:p>
    <w:p>
      <w:pPr>
        <w:ind w:firstLine="1680" w:firstLineChars="800"/>
        <w:rPr>
          <w:rFonts w:ascii="宋体" w:hAnsi="宋体"/>
        </w:rPr>
      </w:pPr>
      <w:r>
        <w:rPr>
          <w:rFonts w:hint="eastAsia" w:ascii="宋体" w:hAnsi="宋体"/>
        </w:rPr>
        <w:t>法定代表人或其委托代理人：</w:t>
      </w:r>
      <w:r>
        <w:rPr>
          <w:rFonts w:ascii="宋体" w:hAnsi="宋体"/>
        </w:rPr>
        <w:t>(</w:t>
      </w:r>
      <w:r>
        <w:rPr>
          <w:rFonts w:hint="eastAsia" w:ascii="宋体" w:hAnsi="宋体"/>
        </w:rPr>
        <w:t>签字或个人印鉴章</w:t>
      </w:r>
      <w:r>
        <w:rPr>
          <w:rFonts w:ascii="宋体" w:hAnsi="宋体"/>
        </w:rPr>
        <w:t>)</w:t>
      </w:r>
    </w:p>
    <w:p>
      <w:pPr>
        <w:ind w:firstLine="420" w:firstLineChars="200"/>
        <w:rPr>
          <w:rFonts w:ascii="宋体" w:hAnsi="宋体"/>
        </w:rPr>
      </w:pPr>
    </w:p>
    <w:p>
      <w:pPr>
        <w:ind w:firstLine="1680" w:firstLineChars="800"/>
        <w:rPr>
          <w:rFonts w:ascii="宋体" w:hAnsi="宋体"/>
        </w:rPr>
      </w:pPr>
      <w:r>
        <w:rPr>
          <w:rFonts w:hint="eastAsia" w:ascii="宋体" w:hAnsi="宋体"/>
        </w:rPr>
        <w:t>成员一名称：</w:t>
      </w:r>
      <w:r>
        <w:rPr>
          <w:rFonts w:ascii="宋体" w:hAnsi="宋体"/>
        </w:rPr>
        <w:t>(</w:t>
      </w:r>
      <w:r>
        <w:rPr>
          <w:rFonts w:hint="eastAsia" w:ascii="宋体" w:hAnsi="宋体"/>
        </w:rPr>
        <w:t>盖单位章</w:t>
      </w:r>
      <w:r>
        <w:rPr>
          <w:rFonts w:ascii="宋体" w:hAnsi="宋体"/>
        </w:rPr>
        <w:t>)</w:t>
      </w:r>
    </w:p>
    <w:p>
      <w:pPr>
        <w:ind w:firstLine="1680" w:firstLineChars="800"/>
        <w:rPr>
          <w:rFonts w:ascii="宋体" w:hAnsi="宋体"/>
        </w:rPr>
      </w:pPr>
      <w:r>
        <w:rPr>
          <w:rFonts w:hint="eastAsia" w:ascii="宋体" w:hAnsi="宋体"/>
        </w:rPr>
        <w:t>法定代表人或其委托代理人：</w:t>
      </w:r>
      <w:r>
        <w:rPr>
          <w:rFonts w:ascii="宋体" w:hAnsi="宋体"/>
        </w:rPr>
        <w:t>(</w:t>
      </w:r>
      <w:r>
        <w:rPr>
          <w:rFonts w:hint="eastAsia" w:ascii="宋体" w:hAnsi="宋体"/>
        </w:rPr>
        <w:t>签字或个人印鉴章</w:t>
      </w:r>
      <w:r>
        <w:rPr>
          <w:rFonts w:ascii="宋体" w:hAnsi="宋体"/>
        </w:rPr>
        <w:t>)</w:t>
      </w:r>
    </w:p>
    <w:p>
      <w:pPr>
        <w:ind w:firstLine="420" w:firstLineChars="200"/>
        <w:rPr>
          <w:rFonts w:ascii="宋体" w:hAnsi="宋体"/>
        </w:rPr>
      </w:pPr>
    </w:p>
    <w:p>
      <w:pPr>
        <w:ind w:firstLine="1680" w:firstLineChars="800"/>
        <w:rPr>
          <w:rFonts w:ascii="宋体" w:hAnsi="宋体"/>
        </w:rPr>
      </w:pPr>
      <w:r>
        <w:rPr>
          <w:rFonts w:hint="eastAsia" w:ascii="宋体" w:hAnsi="宋体"/>
        </w:rPr>
        <w:t>成员二名称：</w:t>
      </w:r>
      <w:r>
        <w:rPr>
          <w:rFonts w:ascii="宋体" w:hAnsi="宋体"/>
        </w:rPr>
        <w:t>(</w:t>
      </w:r>
      <w:r>
        <w:rPr>
          <w:rFonts w:hint="eastAsia" w:ascii="宋体" w:hAnsi="宋体"/>
        </w:rPr>
        <w:t>盖单位章</w:t>
      </w:r>
      <w:r>
        <w:rPr>
          <w:rFonts w:ascii="宋体" w:hAnsi="宋体"/>
        </w:rPr>
        <w:t>)</w:t>
      </w:r>
    </w:p>
    <w:p>
      <w:pPr>
        <w:ind w:firstLine="1680" w:firstLineChars="800"/>
        <w:rPr>
          <w:rFonts w:ascii="宋体" w:hAnsi="宋体"/>
        </w:rPr>
      </w:pPr>
      <w:r>
        <w:rPr>
          <w:rFonts w:hint="eastAsia" w:ascii="宋体" w:hAnsi="宋体"/>
        </w:rPr>
        <w:t>法定代表人或其委托代理人：</w:t>
      </w:r>
      <w:r>
        <w:rPr>
          <w:rFonts w:ascii="宋体" w:hAnsi="宋体"/>
        </w:rPr>
        <w:t>(</w:t>
      </w:r>
      <w:r>
        <w:rPr>
          <w:rFonts w:hint="eastAsia" w:ascii="宋体" w:hAnsi="宋体"/>
        </w:rPr>
        <w:t>签字或个人印鉴章</w:t>
      </w:r>
      <w:r>
        <w:rPr>
          <w:rFonts w:ascii="宋体" w:hAnsi="宋体"/>
        </w:rPr>
        <w:t>)</w:t>
      </w:r>
    </w:p>
    <w:p>
      <w:pPr>
        <w:ind w:firstLine="1680" w:firstLineChars="800"/>
        <w:rPr>
          <w:rFonts w:ascii="宋体" w:hAnsi="宋体"/>
        </w:rPr>
      </w:pPr>
    </w:p>
    <w:p>
      <w:pPr>
        <w:ind w:firstLine="4620" w:firstLineChars="2200"/>
        <w:rPr>
          <w:rFonts w:ascii="宋体" w:hAnsi="宋体"/>
        </w:rPr>
      </w:pPr>
      <w:r>
        <w:rPr>
          <w:rFonts w:hint="eastAsia" w:ascii="宋体" w:hAnsi="宋体"/>
        </w:rPr>
        <w:t>年   月  日</w:t>
      </w:r>
    </w:p>
    <w:p>
      <w:pPr>
        <w:pStyle w:val="26"/>
        <w:jc w:val="center"/>
        <w:rPr>
          <w:rFonts w:ascii="仿宋_GB2312" w:eastAsia="仿宋_GB2312"/>
          <w:b/>
          <w:sz w:val="28"/>
          <w:szCs w:val="28"/>
        </w:rPr>
      </w:pPr>
    </w:p>
    <w:p>
      <w:pPr>
        <w:pStyle w:val="26"/>
        <w:jc w:val="center"/>
        <w:rPr>
          <w:rFonts w:ascii="仿宋_GB2312" w:eastAsia="仿宋_GB2312"/>
          <w:b/>
          <w:sz w:val="28"/>
          <w:szCs w:val="28"/>
        </w:rPr>
      </w:pPr>
    </w:p>
    <w:p>
      <w:pPr>
        <w:pStyle w:val="26"/>
        <w:jc w:val="center"/>
        <w:rPr>
          <w:rFonts w:ascii="仿宋_GB2312" w:eastAsia="仿宋_GB2312"/>
          <w:b/>
          <w:sz w:val="28"/>
          <w:szCs w:val="28"/>
        </w:rPr>
      </w:pPr>
    </w:p>
    <w:p>
      <w:pPr>
        <w:pStyle w:val="26"/>
        <w:jc w:val="center"/>
        <w:rPr>
          <w:rFonts w:ascii="仿宋_GB2312" w:eastAsia="仿宋_GB2312"/>
          <w:b/>
          <w:sz w:val="28"/>
          <w:szCs w:val="28"/>
        </w:rPr>
      </w:pPr>
    </w:p>
    <w:p>
      <w:pPr>
        <w:pStyle w:val="26"/>
        <w:jc w:val="center"/>
        <w:rPr>
          <w:rFonts w:ascii="仿宋_GB2312" w:eastAsia="仿宋_GB2312"/>
          <w:b/>
          <w:sz w:val="28"/>
          <w:szCs w:val="28"/>
        </w:rPr>
      </w:pPr>
    </w:p>
    <w:p>
      <w:pPr>
        <w:jc w:val="center"/>
        <w:rPr>
          <w:rFonts w:ascii="仿宋_GB2312" w:hAnsi="Courier New" w:eastAsia="仿宋_GB2312" w:cs="Courier New"/>
          <w:b/>
          <w:sz w:val="28"/>
          <w:szCs w:val="28"/>
        </w:rPr>
      </w:pPr>
      <w:r>
        <w:rPr>
          <w:rFonts w:hint="eastAsia" w:ascii="仿宋_GB2312" w:hAnsi="Courier New" w:eastAsia="仿宋_GB2312" w:cs="Courier New"/>
          <w:b/>
          <w:sz w:val="28"/>
          <w:szCs w:val="28"/>
        </w:rPr>
        <w:t>联合体授权委托书（如有）</w:t>
      </w:r>
    </w:p>
    <w:p>
      <w:pPr>
        <w:adjustRightInd w:val="0"/>
        <w:snapToGrid w:val="0"/>
        <w:jc w:val="center"/>
        <w:rPr>
          <w:rFonts w:ascii="宋体" w:hAnsi="宋体"/>
          <w:sz w:val="24"/>
        </w:rPr>
      </w:pPr>
      <w:r>
        <w:rPr>
          <w:rFonts w:hint="eastAsia" w:ascii="宋体" w:hAnsi="宋体"/>
          <w:sz w:val="24"/>
        </w:rPr>
        <w:t>（适用联合体投标）</w:t>
      </w:r>
    </w:p>
    <w:p>
      <w:pPr>
        <w:pStyle w:val="195"/>
        <w:tabs>
          <w:tab w:val="left" w:pos="0"/>
        </w:tabs>
        <w:autoSpaceDE w:val="0"/>
        <w:autoSpaceDN w:val="0"/>
        <w:adjustRightInd/>
        <w:spacing w:before="0" w:after="0" w:line="240" w:lineRule="auto"/>
        <w:ind w:left="1134" w:right="2" w:rightChars="1" w:firstLine="0"/>
        <w:textAlignment w:val="bottom"/>
        <w:rPr>
          <w:rFonts w:ascii="宋体" w:hAnsi="宋体" w:eastAsia="宋体"/>
          <w:kern w:val="2"/>
          <w:szCs w:val="24"/>
        </w:rPr>
      </w:pPr>
    </w:p>
    <w:p>
      <w:pPr>
        <w:pStyle w:val="195"/>
        <w:tabs>
          <w:tab w:val="left" w:pos="0"/>
        </w:tabs>
        <w:autoSpaceDE w:val="0"/>
        <w:autoSpaceDN w:val="0"/>
        <w:adjustRightInd/>
        <w:spacing w:before="0" w:after="0" w:line="240" w:lineRule="auto"/>
        <w:ind w:left="735" w:right="2" w:rightChars="1" w:firstLine="456" w:firstLineChars="190"/>
        <w:textAlignment w:val="bottom"/>
        <w:rPr>
          <w:rFonts w:ascii="宋体" w:hAnsi="宋体" w:eastAsia="宋体"/>
          <w:kern w:val="2"/>
          <w:szCs w:val="24"/>
        </w:rPr>
      </w:pPr>
      <w:r>
        <w:rPr>
          <w:rFonts w:hint="eastAsia" w:ascii="宋体" w:hAnsi="宋体" w:eastAsia="宋体"/>
          <w:kern w:val="2"/>
          <w:szCs w:val="24"/>
        </w:rPr>
        <w:t>本授权委托书声明：我系</w:t>
      </w:r>
      <w:r>
        <w:rPr>
          <w:rFonts w:ascii="宋体" w:hAnsi="宋体" w:eastAsia="宋体"/>
          <w:kern w:val="2"/>
          <w:szCs w:val="24"/>
          <w:u w:val="single"/>
        </w:rPr>
        <w:t xml:space="preserve"> </w:t>
      </w:r>
      <w:r>
        <w:rPr>
          <w:rFonts w:hint="eastAsia" w:ascii="宋体" w:hAnsi="宋体" w:eastAsia="宋体"/>
          <w:kern w:val="2"/>
          <w:szCs w:val="24"/>
          <w:u w:val="single"/>
        </w:rPr>
        <w:t>（联合体牵头人）</w:t>
      </w:r>
      <w:r>
        <w:rPr>
          <w:rFonts w:hint="eastAsia" w:ascii="宋体" w:hAnsi="宋体" w:eastAsia="宋体"/>
          <w:kern w:val="2"/>
          <w:szCs w:val="24"/>
        </w:rPr>
        <w:t>的法定代表人，我系</w:t>
      </w:r>
      <w:r>
        <w:rPr>
          <w:rFonts w:hint="eastAsia" w:ascii="宋体" w:hAnsi="宋体" w:eastAsia="宋体"/>
          <w:kern w:val="2"/>
          <w:szCs w:val="24"/>
          <w:u w:val="single"/>
        </w:rPr>
        <w:t>（联合体成员一名称）</w:t>
      </w:r>
      <w:r>
        <w:rPr>
          <w:rFonts w:hint="eastAsia" w:ascii="宋体" w:hAnsi="宋体" w:eastAsia="宋体"/>
          <w:kern w:val="2"/>
          <w:szCs w:val="24"/>
        </w:rPr>
        <w:t>的法定代表人，我系</w:t>
      </w:r>
      <w:r>
        <w:rPr>
          <w:rFonts w:hint="eastAsia" w:ascii="宋体" w:hAnsi="宋体" w:eastAsia="宋体"/>
          <w:kern w:val="2"/>
          <w:szCs w:val="24"/>
          <w:u w:val="single"/>
        </w:rPr>
        <w:t>（联合体成员二名称）</w:t>
      </w:r>
      <w:r>
        <w:rPr>
          <w:rFonts w:hint="eastAsia" w:ascii="宋体" w:hAnsi="宋体" w:eastAsia="宋体"/>
          <w:kern w:val="2"/>
          <w:szCs w:val="24"/>
        </w:rPr>
        <w:t>的法定代表人，现共同授权委托</w:t>
      </w:r>
      <w:r>
        <w:rPr>
          <w:rFonts w:ascii="宋体" w:hAnsi="宋体" w:eastAsia="宋体"/>
          <w:kern w:val="2"/>
          <w:szCs w:val="24"/>
        </w:rPr>
        <w:t xml:space="preserve"> </w:t>
      </w:r>
      <w:r>
        <w:rPr>
          <w:rFonts w:hint="eastAsia" w:ascii="宋体" w:hAnsi="宋体" w:eastAsia="宋体"/>
          <w:kern w:val="2"/>
          <w:szCs w:val="24"/>
        </w:rPr>
        <w:t>（联合体牵头人）的</w:t>
      </w:r>
      <w:r>
        <w:rPr>
          <w:rFonts w:hint="eastAsia" w:ascii="宋体" w:hAnsi="宋体" w:eastAsia="宋体"/>
          <w:kern w:val="2"/>
          <w:szCs w:val="24"/>
          <w:u w:val="single"/>
        </w:rPr>
        <w:t xml:space="preserve">             </w:t>
      </w:r>
      <w:r>
        <w:rPr>
          <w:rFonts w:hint="eastAsia" w:ascii="宋体" w:hAnsi="宋体" w:eastAsia="宋体"/>
          <w:kern w:val="2"/>
          <w:szCs w:val="24"/>
        </w:rPr>
        <w:t>为我们所组成投标联合体参加</w:t>
      </w:r>
      <w:r>
        <w:rPr>
          <w:rFonts w:hint="eastAsia" w:ascii="宋体" w:hAnsi="宋体" w:eastAsia="宋体"/>
          <w:kern w:val="2"/>
          <w:szCs w:val="24"/>
          <w:u w:val="single"/>
        </w:rPr>
        <w:t>（项目名称）</w:t>
      </w:r>
      <w:r>
        <w:rPr>
          <w:rFonts w:hint="eastAsia" w:ascii="宋体" w:hAnsi="宋体" w:eastAsia="宋体"/>
          <w:kern w:val="2"/>
          <w:szCs w:val="24"/>
        </w:rPr>
        <w:t>项目投标的委托代理人。委托代理人在本项目招标、投标、评标、合同签署等活动过程中所签署的一切文件和处理与之有关的一切事务，均为代表本联合体的行为，本联合体将承担委托代理人行为的一切法律责任和后果。</w:t>
      </w:r>
    </w:p>
    <w:p>
      <w:pPr>
        <w:pStyle w:val="195"/>
        <w:tabs>
          <w:tab w:val="left" w:pos="0"/>
        </w:tabs>
        <w:autoSpaceDE w:val="0"/>
        <w:autoSpaceDN w:val="0"/>
        <w:adjustRightInd/>
        <w:spacing w:before="0" w:after="0" w:line="240" w:lineRule="auto"/>
        <w:ind w:right="2" w:rightChars="1" w:firstLine="420"/>
        <w:textAlignment w:val="bottom"/>
        <w:rPr>
          <w:rFonts w:ascii="宋体" w:hAnsi="宋体" w:eastAsia="宋体"/>
          <w:szCs w:val="24"/>
        </w:rPr>
      </w:pPr>
      <w:r>
        <w:rPr>
          <w:rFonts w:hint="eastAsia" w:ascii="宋体" w:hAnsi="宋体" w:eastAsia="宋体"/>
          <w:kern w:val="2"/>
          <w:szCs w:val="24"/>
        </w:rPr>
        <w:t>委托代理人无转委托权。</w:t>
      </w:r>
    </w:p>
    <w:p>
      <w:pPr>
        <w:pStyle w:val="195"/>
        <w:tabs>
          <w:tab w:val="left" w:pos="0"/>
        </w:tabs>
        <w:autoSpaceDE w:val="0"/>
        <w:autoSpaceDN w:val="0"/>
        <w:adjustRightInd/>
        <w:spacing w:before="0" w:after="0" w:line="240" w:lineRule="auto"/>
        <w:ind w:right="2" w:rightChars="1" w:firstLine="420"/>
        <w:textAlignment w:val="bottom"/>
        <w:rPr>
          <w:rFonts w:ascii="宋体" w:hAnsi="宋体" w:eastAsia="宋体"/>
          <w:kern w:val="2"/>
          <w:szCs w:val="24"/>
          <w:u w:val="single"/>
        </w:rPr>
      </w:pPr>
      <w:r>
        <w:rPr>
          <w:rFonts w:hint="eastAsia" w:ascii="宋体" w:hAnsi="宋体" w:eastAsia="宋体"/>
          <w:kern w:val="2"/>
          <w:szCs w:val="24"/>
        </w:rPr>
        <w:t>委托代理人姓名：</w:t>
      </w:r>
    </w:p>
    <w:p>
      <w:pPr>
        <w:pStyle w:val="195"/>
        <w:tabs>
          <w:tab w:val="left" w:pos="0"/>
        </w:tabs>
        <w:autoSpaceDE w:val="0"/>
        <w:autoSpaceDN w:val="0"/>
        <w:adjustRightInd/>
        <w:spacing w:before="0" w:after="0" w:line="240" w:lineRule="auto"/>
        <w:ind w:right="2" w:rightChars="1" w:firstLine="420"/>
        <w:textAlignment w:val="bottom"/>
        <w:rPr>
          <w:rFonts w:ascii="宋体" w:hAnsi="宋体" w:eastAsia="宋体"/>
          <w:kern w:val="2"/>
          <w:szCs w:val="24"/>
          <w:u w:val="single"/>
        </w:rPr>
      </w:pPr>
      <w:r>
        <w:rPr>
          <w:rFonts w:hint="eastAsia" w:ascii="宋体" w:hAnsi="宋体" w:eastAsia="宋体"/>
          <w:kern w:val="2"/>
          <w:szCs w:val="24"/>
        </w:rPr>
        <w:t>身份证号码：</w:t>
      </w:r>
    </w:p>
    <w:p>
      <w:pPr>
        <w:pStyle w:val="195"/>
        <w:tabs>
          <w:tab w:val="left" w:pos="0"/>
        </w:tabs>
        <w:autoSpaceDE w:val="0"/>
        <w:autoSpaceDN w:val="0"/>
        <w:adjustRightInd/>
        <w:spacing w:before="0" w:after="0" w:line="240" w:lineRule="auto"/>
        <w:ind w:leftChars="743" w:right="2" w:rightChars="1" w:firstLine="480" w:firstLineChars="200"/>
        <w:textAlignment w:val="bottom"/>
        <w:rPr>
          <w:rFonts w:ascii="宋体" w:hAnsi="宋体" w:eastAsia="宋体"/>
          <w:kern w:val="2"/>
          <w:szCs w:val="24"/>
        </w:rPr>
      </w:pPr>
      <w:r>
        <w:rPr>
          <w:rFonts w:hint="eastAsia" w:ascii="宋体" w:hAnsi="宋体" w:eastAsia="宋体"/>
          <w:kern w:val="2"/>
          <w:szCs w:val="24"/>
        </w:rPr>
        <w:t>联合体牵头人：</w:t>
      </w:r>
      <w:r>
        <w:rPr>
          <w:rFonts w:hint="eastAsia" w:ascii="宋体" w:hAnsi="宋体" w:eastAsia="宋体"/>
          <w:b/>
          <w:kern w:val="2"/>
          <w:szCs w:val="24"/>
        </w:rPr>
        <w:t>（盖单位章）</w:t>
      </w:r>
    </w:p>
    <w:p>
      <w:pPr>
        <w:pStyle w:val="195"/>
        <w:tabs>
          <w:tab w:val="left" w:pos="0"/>
        </w:tabs>
        <w:autoSpaceDE w:val="0"/>
        <w:autoSpaceDN w:val="0"/>
        <w:adjustRightInd/>
        <w:spacing w:before="0" w:after="0" w:line="240" w:lineRule="auto"/>
        <w:ind w:leftChars="743" w:right="2" w:rightChars="1" w:firstLine="361" w:firstLineChars="150"/>
        <w:textAlignment w:val="bottom"/>
        <w:rPr>
          <w:rFonts w:ascii="宋体" w:hAnsi="宋体" w:eastAsia="宋体"/>
          <w:kern w:val="2"/>
          <w:szCs w:val="24"/>
        </w:rPr>
      </w:pPr>
      <w:r>
        <w:rPr>
          <w:rFonts w:hint="eastAsia" w:ascii="宋体" w:hAnsi="宋体" w:eastAsia="宋体"/>
          <w:b/>
          <w:bCs/>
          <w:szCs w:val="24"/>
        </w:rPr>
        <w:t>法定代表人或企业负责人：</w:t>
      </w:r>
      <w:r>
        <w:rPr>
          <w:rFonts w:hint="eastAsia" w:ascii="宋体" w:hAnsi="宋体" w:eastAsia="宋体"/>
          <w:b/>
          <w:bCs/>
          <w:szCs w:val="24"/>
          <w:u w:val="single"/>
        </w:rPr>
        <w:t>（签字或个人印鉴章）</w:t>
      </w:r>
      <w:r>
        <w:rPr>
          <w:rFonts w:ascii="宋体" w:hAnsi="宋体" w:eastAsia="宋体"/>
          <w:kern w:val="2"/>
          <w:szCs w:val="24"/>
        </w:rPr>
        <w:t xml:space="preserve">  </w:t>
      </w:r>
    </w:p>
    <w:p>
      <w:pPr>
        <w:pStyle w:val="195"/>
        <w:tabs>
          <w:tab w:val="left" w:pos="0"/>
        </w:tabs>
        <w:autoSpaceDE w:val="0"/>
        <w:autoSpaceDN w:val="0"/>
        <w:adjustRightInd/>
        <w:spacing w:before="0" w:after="0" w:line="240" w:lineRule="auto"/>
        <w:ind w:left="420" w:leftChars="200" w:right="2" w:rightChars="1" w:firstLine="1680" w:firstLineChars="700"/>
        <w:textAlignment w:val="bottom"/>
        <w:rPr>
          <w:rFonts w:ascii="宋体" w:hAnsi="宋体" w:eastAsia="宋体"/>
          <w:kern w:val="2"/>
          <w:szCs w:val="24"/>
        </w:rPr>
      </w:pPr>
      <w:r>
        <w:rPr>
          <w:rFonts w:hint="eastAsia" w:ascii="宋体" w:hAnsi="宋体" w:eastAsia="宋体"/>
          <w:kern w:val="2"/>
          <w:szCs w:val="24"/>
        </w:rPr>
        <w:t>联合体成员单位一名称</w:t>
      </w:r>
      <w:r>
        <w:rPr>
          <w:rFonts w:hint="eastAsia" w:ascii="宋体" w:hAnsi="宋体" w:eastAsia="宋体"/>
          <w:b/>
          <w:kern w:val="2"/>
          <w:szCs w:val="24"/>
          <w:u w:val="single"/>
        </w:rPr>
        <w:t>：</w:t>
      </w:r>
      <w:r>
        <w:rPr>
          <w:rFonts w:ascii="宋体" w:hAnsi="宋体" w:eastAsia="宋体"/>
          <w:b/>
          <w:kern w:val="2"/>
          <w:szCs w:val="24"/>
          <w:u w:val="single"/>
        </w:rPr>
        <w:t xml:space="preserve">                </w:t>
      </w:r>
      <w:r>
        <w:rPr>
          <w:rFonts w:hint="eastAsia" w:ascii="宋体" w:hAnsi="宋体" w:eastAsia="宋体"/>
          <w:b/>
          <w:kern w:val="2"/>
          <w:szCs w:val="24"/>
        </w:rPr>
        <w:t>（盖单位章）</w:t>
      </w:r>
      <w:r>
        <w:rPr>
          <w:rFonts w:ascii="宋体" w:hAnsi="宋体" w:eastAsia="宋体"/>
          <w:b/>
          <w:kern w:val="2"/>
          <w:szCs w:val="24"/>
        </w:rPr>
        <w:t xml:space="preserve">    </w:t>
      </w:r>
    </w:p>
    <w:p>
      <w:pPr>
        <w:pStyle w:val="195"/>
        <w:tabs>
          <w:tab w:val="left" w:pos="0"/>
        </w:tabs>
        <w:autoSpaceDE w:val="0"/>
        <w:autoSpaceDN w:val="0"/>
        <w:adjustRightInd/>
        <w:spacing w:before="0" w:after="0" w:line="240" w:lineRule="auto"/>
        <w:ind w:left="1554" w:leftChars="740" w:right="2" w:rightChars="1" w:firstLine="361" w:firstLineChars="150"/>
        <w:textAlignment w:val="bottom"/>
        <w:rPr>
          <w:rFonts w:ascii="宋体" w:hAnsi="宋体" w:eastAsia="宋体"/>
          <w:kern w:val="2"/>
          <w:szCs w:val="24"/>
        </w:rPr>
      </w:pPr>
      <w:r>
        <w:rPr>
          <w:rFonts w:hint="eastAsia" w:ascii="宋体" w:hAnsi="宋体" w:eastAsia="宋体"/>
          <w:b/>
          <w:bCs/>
          <w:szCs w:val="24"/>
        </w:rPr>
        <w:t>法定代表人或企业负责人：</w:t>
      </w:r>
      <w:r>
        <w:rPr>
          <w:rFonts w:hint="eastAsia" w:ascii="宋体" w:hAnsi="宋体" w:eastAsia="宋体"/>
          <w:b/>
          <w:bCs/>
          <w:szCs w:val="24"/>
          <w:u w:val="single"/>
        </w:rPr>
        <w:t>（签字或个人印鉴章）</w:t>
      </w:r>
      <w:r>
        <w:rPr>
          <w:rFonts w:ascii="宋体" w:hAnsi="宋体" w:eastAsia="宋体"/>
          <w:kern w:val="2"/>
          <w:szCs w:val="24"/>
        </w:rPr>
        <w:t xml:space="preserve"> </w:t>
      </w:r>
    </w:p>
    <w:p>
      <w:pPr>
        <w:pStyle w:val="195"/>
        <w:tabs>
          <w:tab w:val="left" w:pos="0"/>
        </w:tabs>
        <w:autoSpaceDE w:val="0"/>
        <w:autoSpaceDN w:val="0"/>
        <w:adjustRightInd/>
        <w:spacing w:before="0" w:after="0" w:line="240" w:lineRule="auto"/>
        <w:ind w:left="420" w:leftChars="200" w:right="2" w:rightChars="1" w:firstLine="1680" w:firstLineChars="700"/>
        <w:textAlignment w:val="bottom"/>
        <w:rPr>
          <w:rFonts w:ascii="宋体" w:hAnsi="宋体" w:eastAsia="宋体"/>
          <w:kern w:val="2"/>
          <w:szCs w:val="24"/>
        </w:rPr>
      </w:pPr>
      <w:r>
        <w:rPr>
          <w:rFonts w:hint="eastAsia" w:ascii="宋体" w:hAnsi="宋体" w:eastAsia="宋体"/>
          <w:kern w:val="2"/>
          <w:szCs w:val="24"/>
        </w:rPr>
        <w:t>联合体成员单位二名称</w:t>
      </w:r>
      <w:r>
        <w:rPr>
          <w:rFonts w:hint="eastAsia" w:ascii="宋体" w:hAnsi="宋体" w:eastAsia="宋体"/>
          <w:b/>
          <w:kern w:val="2"/>
          <w:szCs w:val="24"/>
          <w:u w:val="single"/>
        </w:rPr>
        <w:t>：</w:t>
      </w:r>
      <w:r>
        <w:rPr>
          <w:rFonts w:ascii="宋体" w:hAnsi="宋体" w:eastAsia="宋体"/>
          <w:b/>
          <w:kern w:val="2"/>
          <w:szCs w:val="24"/>
          <w:u w:val="single"/>
        </w:rPr>
        <w:t xml:space="preserve">                </w:t>
      </w:r>
      <w:r>
        <w:rPr>
          <w:rFonts w:hint="eastAsia" w:ascii="宋体" w:hAnsi="宋体" w:eastAsia="宋体"/>
          <w:b/>
          <w:kern w:val="2"/>
          <w:szCs w:val="24"/>
        </w:rPr>
        <w:t>（盖单位章）</w:t>
      </w:r>
      <w:r>
        <w:rPr>
          <w:rFonts w:ascii="宋体" w:hAnsi="宋体" w:eastAsia="宋体"/>
          <w:b/>
          <w:kern w:val="2"/>
          <w:szCs w:val="24"/>
        </w:rPr>
        <w:t xml:space="preserve">     </w:t>
      </w:r>
    </w:p>
    <w:p>
      <w:pPr>
        <w:pStyle w:val="195"/>
        <w:tabs>
          <w:tab w:val="left" w:pos="0"/>
        </w:tabs>
        <w:autoSpaceDE w:val="0"/>
        <w:autoSpaceDN w:val="0"/>
        <w:adjustRightInd/>
        <w:spacing w:before="0" w:after="0" w:line="240" w:lineRule="auto"/>
        <w:ind w:left="1554" w:leftChars="740" w:right="2" w:rightChars="1" w:firstLine="361" w:firstLineChars="150"/>
        <w:textAlignment w:val="bottom"/>
        <w:rPr>
          <w:rFonts w:ascii="宋体" w:hAnsi="宋体" w:eastAsia="宋体"/>
          <w:kern w:val="2"/>
          <w:szCs w:val="24"/>
        </w:rPr>
      </w:pPr>
      <w:r>
        <w:rPr>
          <w:rFonts w:hint="eastAsia" w:ascii="宋体" w:hAnsi="宋体" w:eastAsia="宋体"/>
          <w:b/>
          <w:bCs/>
          <w:szCs w:val="24"/>
        </w:rPr>
        <w:t>法定代表人或企业负责人：</w:t>
      </w:r>
      <w:r>
        <w:rPr>
          <w:rFonts w:hint="eastAsia" w:ascii="宋体" w:hAnsi="宋体" w:eastAsia="宋体"/>
          <w:b/>
          <w:bCs/>
          <w:szCs w:val="24"/>
          <w:u w:val="single"/>
        </w:rPr>
        <w:t>（签字或个人印鉴章）</w:t>
      </w:r>
    </w:p>
    <w:p>
      <w:pPr>
        <w:rPr>
          <w:rFonts w:ascii="宋体" w:hAnsi="宋体"/>
          <w:sz w:val="24"/>
        </w:rPr>
      </w:pPr>
    </w:p>
    <w:p>
      <w:pPr>
        <w:ind w:right="210"/>
        <w:jc w:val="right"/>
        <w:rPr>
          <w:rFonts w:ascii="宋体" w:hAnsi="宋体"/>
          <w:sz w:val="24"/>
        </w:rPr>
      </w:pPr>
      <w:r>
        <w:rPr>
          <w:rFonts w:hint="eastAsia" w:ascii="宋体" w:hAnsi="宋体"/>
          <w:sz w:val="24"/>
        </w:rPr>
        <w:t xml:space="preserve">年 </w:t>
      </w:r>
      <w:r>
        <w:rPr>
          <w:rFonts w:ascii="宋体" w:hAnsi="宋体"/>
          <w:sz w:val="24"/>
        </w:rPr>
        <w:t xml:space="preserve"> </w:t>
      </w:r>
      <w:r>
        <w:rPr>
          <w:rFonts w:hint="eastAsia" w:ascii="宋体" w:hAnsi="宋体"/>
          <w:sz w:val="24"/>
        </w:rPr>
        <w:t xml:space="preserve">月 </w:t>
      </w:r>
      <w:r>
        <w:rPr>
          <w:rFonts w:ascii="宋体" w:hAnsi="宋体"/>
          <w:sz w:val="24"/>
        </w:rPr>
        <w:t xml:space="preserve"> </w:t>
      </w:r>
      <w:r>
        <w:rPr>
          <w:rFonts w:hint="eastAsia" w:ascii="宋体" w:hAnsi="宋体"/>
          <w:sz w:val="24"/>
        </w:rPr>
        <w:t>日</w:t>
      </w:r>
    </w:p>
    <w:p>
      <w:pPr>
        <w:ind w:right="1170"/>
        <w:rPr>
          <w:rFonts w:ascii="宋体" w:hAnsi="宋体"/>
          <w:sz w:val="24"/>
        </w:rPr>
      </w:pPr>
    </w:p>
    <w:p>
      <w:pPr>
        <w:ind w:right="1170"/>
        <w:rPr>
          <w:rFonts w:ascii="宋体" w:hAnsi="宋体"/>
          <w:sz w:val="24"/>
        </w:rPr>
      </w:pPr>
    </w:p>
    <w:p>
      <w:pPr>
        <w:ind w:right="1170"/>
        <w:rPr>
          <w:rFonts w:ascii="宋体" w:hAnsi="宋体"/>
          <w:sz w:val="24"/>
        </w:rPr>
      </w:pPr>
    </w:p>
    <w:p>
      <w:pPr>
        <w:ind w:right="1170"/>
        <w:rPr>
          <w:rFonts w:ascii="宋体" w:hAnsi="宋体"/>
          <w:sz w:val="24"/>
        </w:rPr>
      </w:pPr>
    </w:p>
    <w:p>
      <w:pPr>
        <w:ind w:right="1170"/>
        <w:rPr>
          <w:rFonts w:ascii="宋体" w:hAnsi="宋体"/>
          <w:sz w:val="24"/>
        </w:rPr>
      </w:pPr>
    </w:p>
    <w:p>
      <w:pPr>
        <w:ind w:right="1170"/>
        <w:rPr>
          <w:rFonts w:ascii="宋体" w:hAnsi="宋体"/>
          <w:sz w:val="24"/>
        </w:rPr>
      </w:pPr>
    </w:p>
    <w:p>
      <w:pPr>
        <w:ind w:right="1170"/>
        <w:rPr>
          <w:rFonts w:ascii="宋体" w:hAnsi="宋体"/>
          <w:sz w:val="24"/>
        </w:rPr>
      </w:pPr>
    </w:p>
    <w:p>
      <w:pPr>
        <w:ind w:right="1170"/>
        <w:rPr>
          <w:rFonts w:ascii="宋体" w:hAnsi="宋体"/>
          <w:sz w:val="24"/>
        </w:rPr>
      </w:pPr>
    </w:p>
    <w:p>
      <w:pPr>
        <w:ind w:right="1170"/>
        <w:rPr>
          <w:rFonts w:ascii="宋体" w:hAnsi="宋体"/>
          <w:sz w:val="24"/>
        </w:rPr>
      </w:pPr>
    </w:p>
    <w:p>
      <w:pPr>
        <w:pStyle w:val="26"/>
        <w:jc w:val="center"/>
        <w:rPr>
          <w:rFonts w:ascii="仿宋_GB2312" w:eastAsia="仿宋_GB2312"/>
          <w:b/>
          <w:sz w:val="28"/>
          <w:szCs w:val="28"/>
        </w:rPr>
      </w:pPr>
    </w:p>
    <w:p>
      <w:pPr>
        <w:pStyle w:val="26"/>
        <w:jc w:val="center"/>
        <w:rPr>
          <w:rFonts w:ascii="仿宋_GB2312" w:eastAsia="仿宋_GB2312"/>
          <w:b/>
          <w:sz w:val="28"/>
          <w:szCs w:val="28"/>
        </w:rPr>
      </w:pPr>
      <w:r>
        <w:rPr>
          <w:rFonts w:hint="eastAsia" w:ascii="仿宋_GB2312" w:eastAsia="仿宋_GB2312"/>
          <w:b/>
          <w:sz w:val="28"/>
          <w:szCs w:val="28"/>
        </w:rPr>
        <w:t>四、资格证明材料</w:t>
      </w:r>
      <w:bookmarkEnd w:id="597"/>
      <w:bookmarkEnd w:id="598"/>
      <w:bookmarkEnd w:id="599"/>
    </w:p>
    <w:p>
      <w:pPr>
        <w:pStyle w:val="26"/>
        <w:spacing w:line="360" w:lineRule="exact"/>
        <w:ind w:firstLine="520" w:firstLineChars="200"/>
        <w:rPr>
          <w:rFonts w:ascii="黑体" w:hAnsi="宋体" w:eastAsia="黑体"/>
          <w:sz w:val="24"/>
        </w:rPr>
      </w:pPr>
      <w:r>
        <w:rPr>
          <w:rFonts w:hint="eastAsia" w:ascii="黑体" w:hAnsi="宋体" w:eastAsia="黑体"/>
          <w:spacing w:val="10"/>
          <w:kern w:val="24"/>
          <w:sz w:val="24"/>
          <w:szCs w:val="24"/>
        </w:rPr>
        <w:t>营业执照、企业资质证书、安全生产许可证、</w:t>
      </w:r>
      <w:r>
        <w:rPr>
          <w:rFonts w:hint="eastAsia" w:ascii="黑体" w:hAnsi="宋体" w:eastAsia="黑体"/>
          <w:sz w:val="24"/>
        </w:rPr>
        <w:t>被授权人</w:t>
      </w:r>
    </w:p>
    <w:p>
      <w:pPr>
        <w:pStyle w:val="26"/>
        <w:spacing w:line="360" w:lineRule="exact"/>
        <w:ind w:firstLine="480" w:firstLineChars="200"/>
        <w:rPr>
          <w:rFonts w:ascii="黑体" w:hAnsi="宋体" w:eastAsia="黑体"/>
          <w:spacing w:val="10"/>
          <w:kern w:val="24"/>
          <w:sz w:val="24"/>
          <w:szCs w:val="24"/>
        </w:rPr>
      </w:pPr>
      <w:r>
        <w:rPr>
          <w:rFonts w:hint="eastAsia" w:ascii="黑体" w:hAnsi="宋体" w:eastAsia="黑体"/>
          <w:sz w:val="24"/>
        </w:rPr>
        <w:t>身份证</w:t>
      </w:r>
      <w:r>
        <w:rPr>
          <w:rFonts w:hint="eastAsia" w:ascii="黑体" w:hAnsi="宋体" w:eastAsia="黑体"/>
          <w:kern w:val="0"/>
          <w:sz w:val="32"/>
          <w:szCs w:val="32"/>
        </w:rPr>
        <w:t>、</w:t>
      </w:r>
      <w:r>
        <w:rPr>
          <w:rFonts w:hint="eastAsia" w:ascii="黑体" w:hAnsi="宋体" w:eastAsia="黑体"/>
          <w:kern w:val="0"/>
          <w:sz w:val="24"/>
        </w:rPr>
        <w:t>业绩证明材料</w:t>
      </w:r>
      <w:r>
        <w:rPr>
          <w:rFonts w:hint="eastAsia" w:ascii="黑体" w:hAnsi="宋体" w:eastAsia="黑体"/>
          <w:sz w:val="24"/>
        </w:rPr>
        <w:t>、拟任本工程项目经理的注册建造师证书及安全生产考核合格证书</w:t>
      </w:r>
      <w:r>
        <w:rPr>
          <w:rFonts w:hint="eastAsia" w:ascii="黑体" w:hAnsi="宋体" w:eastAsia="黑体"/>
          <w:kern w:val="0"/>
          <w:sz w:val="24"/>
        </w:rPr>
        <w:t>等。</w:t>
      </w:r>
    </w:p>
    <w:p>
      <w:pPr>
        <w:pStyle w:val="26"/>
        <w:spacing w:line="360" w:lineRule="exact"/>
        <w:ind w:firstLine="480" w:firstLineChars="200"/>
        <w:rPr>
          <w:rFonts w:ascii="黑体" w:hAnsi="宋体" w:eastAsia="黑体"/>
          <w:sz w:val="24"/>
          <w:szCs w:val="24"/>
        </w:rPr>
      </w:pPr>
    </w:p>
    <w:p>
      <w:pPr>
        <w:pStyle w:val="26"/>
        <w:rPr>
          <w:rFonts w:ascii="黑体" w:eastAsia="黑体"/>
          <w:sz w:val="28"/>
          <w:szCs w:val="28"/>
        </w:rPr>
      </w:pPr>
    </w:p>
    <w:p>
      <w:pPr>
        <w:pStyle w:val="26"/>
        <w:rPr>
          <w:rFonts w:ascii="仿宋_GB2312" w:eastAsia="仿宋_GB2312"/>
          <w:b/>
          <w:sz w:val="28"/>
          <w:szCs w:val="28"/>
        </w:rPr>
      </w:pPr>
    </w:p>
    <w:p>
      <w:pPr>
        <w:pStyle w:val="26"/>
        <w:rPr>
          <w:rFonts w:ascii="仿宋_GB2312" w:eastAsia="仿宋_GB2312"/>
          <w:b/>
          <w:sz w:val="28"/>
          <w:szCs w:val="28"/>
        </w:rPr>
      </w:pPr>
    </w:p>
    <w:p>
      <w:pPr>
        <w:pStyle w:val="26"/>
        <w:rPr>
          <w:rFonts w:ascii="仿宋_GB2312" w:eastAsia="仿宋_GB2312"/>
          <w:b/>
          <w:sz w:val="28"/>
          <w:szCs w:val="28"/>
        </w:rPr>
      </w:pPr>
    </w:p>
    <w:p>
      <w:pPr>
        <w:pStyle w:val="26"/>
        <w:rPr>
          <w:rFonts w:ascii="仿宋_GB2312" w:eastAsia="仿宋_GB2312"/>
          <w:b/>
          <w:sz w:val="28"/>
          <w:szCs w:val="28"/>
        </w:rPr>
      </w:pPr>
    </w:p>
    <w:p>
      <w:pPr>
        <w:pStyle w:val="26"/>
        <w:jc w:val="center"/>
        <w:rPr>
          <w:rFonts w:ascii="仿宋_GB2312" w:eastAsia="仿宋_GB2312"/>
          <w:b/>
          <w:sz w:val="28"/>
          <w:szCs w:val="28"/>
        </w:rPr>
        <w:sectPr>
          <w:pgSz w:w="11907" w:h="16840"/>
          <w:pgMar w:top="1298" w:right="1077" w:bottom="1060" w:left="1077" w:header="851" w:footer="737" w:gutter="0"/>
          <w:cols w:space="720" w:num="1"/>
          <w:docGrid w:type="lines" w:linePitch="476" w:charSpace="0"/>
        </w:sectPr>
      </w:pPr>
      <w:bookmarkStart w:id="609" w:name="_Toc171581379"/>
      <w:bookmarkStart w:id="610" w:name="_Toc171581559"/>
      <w:bookmarkStart w:id="611" w:name="_Toc171742002"/>
    </w:p>
    <w:p>
      <w:pPr>
        <w:pStyle w:val="26"/>
        <w:jc w:val="center"/>
        <w:rPr>
          <w:rFonts w:ascii="仿宋_GB2312" w:eastAsia="仿宋_GB2312"/>
          <w:b/>
          <w:sz w:val="28"/>
          <w:szCs w:val="28"/>
        </w:rPr>
      </w:pPr>
      <w:r>
        <w:rPr>
          <w:rFonts w:hint="eastAsia" w:ascii="仿宋_GB2312" w:eastAsia="仿宋_GB2312"/>
          <w:b/>
          <w:sz w:val="28"/>
          <w:szCs w:val="28"/>
        </w:rPr>
        <w:t>五、</w:t>
      </w:r>
      <w:permStart w:id="97" w:edGrp="everyone"/>
      <w:r>
        <w:rPr>
          <w:rFonts w:hint="eastAsia" w:ascii="仿宋_GB2312" w:hAnsi="宋体" w:eastAsia="仿宋_GB2312"/>
          <w:b/>
          <w:sz w:val="28"/>
          <w:szCs w:val="28"/>
        </w:rPr>
        <w:t>项目管理机构配备情况</w:t>
      </w:r>
      <w:bookmarkEnd w:id="609"/>
      <w:bookmarkEnd w:id="610"/>
      <w:bookmarkEnd w:id="611"/>
    </w:p>
    <w:tbl>
      <w:tblPr>
        <w:tblStyle w:val="49"/>
        <w:tblW w:w="9135" w:type="dxa"/>
        <w:tblInd w:w="308" w:type="dxa"/>
        <w:tblLayout w:type="fixed"/>
        <w:tblCellMar>
          <w:top w:w="0" w:type="dxa"/>
          <w:left w:w="108" w:type="dxa"/>
          <w:bottom w:w="0" w:type="dxa"/>
          <w:right w:w="108" w:type="dxa"/>
        </w:tblCellMar>
      </w:tblPr>
      <w:tblGrid>
        <w:gridCol w:w="1689"/>
        <w:gridCol w:w="1400"/>
        <w:gridCol w:w="280"/>
        <w:gridCol w:w="1250"/>
        <w:gridCol w:w="581"/>
        <w:gridCol w:w="9"/>
        <w:gridCol w:w="995"/>
        <w:gridCol w:w="1050"/>
        <w:gridCol w:w="256"/>
        <w:gridCol w:w="1625"/>
      </w:tblGrid>
      <w:tr>
        <w:tblPrEx>
          <w:tblCellMar>
            <w:top w:w="0" w:type="dxa"/>
            <w:left w:w="108" w:type="dxa"/>
            <w:bottom w:w="0" w:type="dxa"/>
            <w:right w:w="108" w:type="dxa"/>
          </w:tblCellMar>
        </w:tblPrEx>
        <w:trPr>
          <w:trHeight w:val="583" w:hRule="atLeast"/>
        </w:trPr>
        <w:tc>
          <w:tcPr>
            <w:tcW w:w="1689" w:type="dxa"/>
            <w:tcBorders>
              <w:top w:val="single" w:color="auto" w:sz="12" w:space="0"/>
              <w:left w:val="single" w:color="auto" w:sz="12" w:space="0"/>
              <w:bottom w:val="single" w:color="auto" w:sz="6" w:space="0"/>
              <w:right w:val="single" w:color="auto" w:sz="4" w:space="0"/>
            </w:tcBorders>
            <w:vAlign w:val="center"/>
          </w:tcPr>
          <w:p>
            <w:pPr>
              <w:autoSpaceDE w:val="0"/>
              <w:autoSpaceDN w:val="0"/>
              <w:adjustRightInd w:val="0"/>
              <w:jc w:val="left"/>
              <w:rPr>
                <w:rFonts w:ascii="仿宋_GB2312" w:hAnsi="宋体" w:eastAsia="仿宋_GB2312" w:cs="宋体"/>
                <w:sz w:val="24"/>
                <w:lang w:val="zh-CN"/>
              </w:rPr>
            </w:pPr>
            <w:r>
              <w:rPr>
                <w:rFonts w:hint="eastAsia" w:ascii="仿宋_GB2312" w:hAnsi="宋体" w:eastAsia="仿宋_GB2312" w:cs="宋体"/>
                <w:sz w:val="24"/>
                <w:lang w:val="zh-CN"/>
              </w:rPr>
              <w:t>1．公司人员</w:t>
            </w:r>
          </w:p>
        </w:tc>
        <w:tc>
          <w:tcPr>
            <w:tcW w:w="7446" w:type="dxa"/>
            <w:gridSpan w:val="9"/>
            <w:tcBorders>
              <w:top w:val="single" w:color="auto" w:sz="12" w:space="0"/>
              <w:left w:val="single" w:color="auto" w:sz="4" w:space="0"/>
              <w:bottom w:val="single" w:color="auto" w:sz="6" w:space="0"/>
              <w:right w:val="single" w:color="auto" w:sz="12" w:space="0"/>
            </w:tcBorders>
            <w:vAlign w:val="center"/>
          </w:tcPr>
          <w:p>
            <w:pPr>
              <w:autoSpaceDE w:val="0"/>
              <w:autoSpaceDN w:val="0"/>
              <w:adjustRightInd w:val="0"/>
              <w:ind w:firstLine="2160" w:firstLineChars="900"/>
              <w:jc w:val="left"/>
              <w:rPr>
                <w:rFonts w:ascii="仿宋_GB2312" w:hAnsi="宋体" w:eastAsia="仿宋_GB2312" w:cs="宋体"/>
                <w:sz w:val="24"/>
                <w:lang w:val="zh-CN"/>
              </w:rPr>
            </w:pPr>
            <w:r>
              <w:rPr>
                <w:rFonts w:hint="eastAsia" w:ascii="仿宋_GB2312" w:hAnsi="宋体" w:eastAsia="仿宋_GB2312"/>
                <w:sz w:val="24"/>
              </w:rPr>
              <w:t>共计：         人</w:t>
            </w:r>
          </w:p>
        </w:tc>
      </w:tr>
      <w:tr>
        <w:tblPrEx>
          <w:tblCellMar>
            <w:top w:w="0" w:type="dxa"/>
            <w:left w:w="108" w:type="dxa"/>
            <w:bottom w:w="0" w:type="dxa"/>
            <w:right w:w="108" w:type="dxa"/>
          </w:tblCellMar>
        </w:tblPrEx>
        <w:trPr>
          <w:cantSplit/>
          <w:trHeight w:val="510" w:hRule="atLeast"/>
        </w:trPr>
        <w:tc>
          <w:tcPr>
            <w:tcW w:w="1689" w:type="dxa"/>
            <w:vMerge w:val="restart"/>
            <w:tcBorders>
              <w:top w:val="single" w:color="auto" w:sz="12" w:space="0"/>
              <w:left w:val="single" w:color="auto" w:sz="12" w:space="0"/>
              <w:right w:val="single" w:color="auto" w:sz="4" w:space="0"/>
            </w:tcBorders>
            <w:vAlign w:val="center"/>
          </w:tcPr>
          <w:p>
            <w:pPr>
              <w:autoSpaceDE w:val="0"/>
              <w:autoSpaceDN w:val="0"/>
              <w:adjustRightInd w:val="0"/>
              <w:jc w:val="center"/>
              <w:rPr>
                <w:rFonts w:ascii="仿宋_GB2312" w:hAnsi="宋体" w:eastAsia="仿宋_GB2312" w:cs="宋体"/>
                <w:sz w:val="24"/>
                <w:lang w:val="zh-CN"/>
              </w:rPr>
            </w:pPr>
            <w:r>
              <w:rPr>
                <w:rFonts w:hint="eastAsia" w:ascii="仿宋_GB2312" w:hAnsi="宋体" w:eastAsia="仿宋_GB2312" w:cs="宋体"/>
                <w:sz w:val="24"/>
                <w:lang w:val="zh-CN"/>
              </w:rPr>
              <w:t>其  中</w:t>
            </w:r>
          </w:p>
        </w:tc>
        <w:tc>
          <w:tcPr>
            <w:tcW w:w="5565" w:type="dxa"/>
            <w:gridSpan w:val="7"/>
            <w:tcBorders>
              <w:top w:val="single" w:color="auto" w:sz="12" w:space="0"/>
              <w:left w:val="single" w:color="auto" w:sz="4" w:space="0"/>
              <w:bottom w:val="single" w:color="auto" w:sz="6" w:space="0"/>
              <w:right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有职称技术的管理人员</w:t>
            </w:r>
          </w:p>
        </w:tc>
        <w:tc>
          <w:tcPr>
            <w:tcW w:w="1881" w:type="dxa"/>
            <w:gridSpan w:val="2"/>
            <w:tcBorders>
              <w:top w:val="single" w:color="auto" w:sz="12" w:space="0"/>
              <w:left w:val="single" w:color="auto" w:sz="4" w:space="0"/>
              <w:bottom w:val="single" w:color="auto" w:sz="6" w:space="0"/>
              <w:right w:val="single" w:color="auto" w:sz="12" w:space="0"/>
            </w:tcBorders>
            <w:vAlign w:val="center"/>
          </w:tcPr>
          <w:p>
            <w:pPr>
              <w:autoSpaceDE w:val="0"/>
              <w:autoSpaceDN w:val="0"/>
              <w:adjustRightInd w:val="0"/>
              <w:jc w:val="center"/>
              <w:rPr>
                <w:rFonts w:ascii="仿宋_GB2312" w:hAnsi="宋体" w:eastAsia="仿宋_GB2312" w:cs="宋体"/>
                <w:sz w:val="24"/>
                <w:lang w:val="zh-CN"/>
              </w:rPr>
            </w:pPr>
            <w:r>
              <w:rPr>
                <w:rFonts w:hint="eastAsia" w:ascii="仿宋_GB2312" w:hAnsi="宋体" w:eastAsia="仿宋_GB2312"/>
                <w:sz w:val="24"/>
              </w:rPr>
              <w:t>其他管理人员</w:t>
            </w:r>
          </w:p>
        </w:tc>
      </w:tr>
      <w:tr>
        <w:tblPrEx>
          <w:tblCellMar>
            <w:top w:w="0" w:type="dxa"/>
            <w:left w:w="108" w:type="dxa"/>
            <w:bottom w:w="0" w:type="dxa"/>
            <w:right w:w="108" w:type="dxa"/>
          </w:tblCellMar>
        </w:tblPrEx>
        <w:trPr>
          <w:cantSplit/>
          <w:trHeight w:val="510" w:hRule="atLeast"/>
        </w:trPr>
        <w:tc>
          <w:tcPr>
            <w:tcW w:w="1689" w:type="dxa"/>
            <w:vMerge w:val="continue"/>
            <w:tcBorders>
              <w:left w:val="single" w:color="auto" w:sz="12" w:space="0"/>
              <w:right w:val="single" w:color="auto" w:sz="4" w:space="0"/>
            </w:tcBorders>
            <w:vAlign w:val="center"/>
          </w:tcPr>
          <w:p>
            <w:pPr>
              <w:autoSpaceDE w:val="0"/>
              <w:autoSpaceDN w:val="0"/>
              <w:adjustRightInd w:val="0"/>
              <w:jc w:val="left"/>
              <w:rPr>
                <w:rFonts w:ascii="仿宋_GB2312" w:hAnsi="宋体" w:eastAsia="仿宋_GB2312" w:cs="宋体"/>
                <w:sz w:val="24"/>
                <w:lang w:val="zh-CN"/>
              </w:rPr>
            </w:pPr>
          </w:p>
        </w:tc>
        <w:tc>
          <w:tcPr>
            <w:tcW w:w="1680" w:type="dxa"/>
            <w:gridSpan w:val="2"/>
            <w:tcBorders>
              <w:top w:val="single" w:color="auto" w:sz="12" w:space="0"/>
              <w:left w:val="single" w:color="auto" w:sz="4" w:space="0"/>
              <w:bottom w:val="single" w:color="auto" w:sz="6" w:space="0"/>
              <w:right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高级工程师</w:t>
            </w:r>
          </w:p>
        </w:tc>
        <w:tc>
          <w:tcPr>
            <w:tcW w:w="1250" w:type="dxa"/>
            <w:tcBorders>
              <w:top w:val="single" w:color="auto" w:sz="12" w:space="0"/>
              <w:left w:val="single" w:color="auto" w:sz="4" w:space="0"/>
              <w:bottom w:val="single" w:color="auto" w:sz="6" w:space="0"/>
              <w:right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工程师</w:t>
            </w:r>
          </w:p>
        </w:tc>
        <w:tc>
          <w:tcPr>
            <w:tcW w:w="1585" w:type="dxa"/>
            <w:gridSpan w:val="3"/>
            <w:tcBorders>
              <w:top w:val="single" w:color="auto" w:sz="12" w:space="0"/>
              <w:left w:val="single" w:color="auto" w:sz="4" w:space="0"/>
              <w:bottom w:val="single" w:color="auto" w:sz="6" w:space="0"/>
              <w:right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助理工程师</w:t>
            </w:r>
          </w:p>
        </w:tc>
        <w:tc>
          <w:tcPr>
            <w:tcW w:w="1050" w:type="dxa"/>
            <w:tcBorders>
              <w:top w:val="single" w:color="auto" w:sz="12" w:space="0"/>
              <w:left w:val="single" w:color="auto" w:sz="4" w:space="0"/>
              <w:bottom w:val="single" w:color="auto" w:sz="6" w:space="0"/>
              <w:right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技术员</w:t>
            </w:r>
          </w:p>
        </w:tc>
        <w:tc>
          <w:tcPr>
            <w:tcW w:w="1881" w:type="dxa"/>
            <w:gridSpan w:val="2"/>
            <w:tcBorders>
              <w:top w:val="single" w:color="auto" w:sz="12" w:space="0"/>
              <w:left w:val="single" w:color="auto" w:sz="4" w:space="0"/>
              <w:bottom w:val="single" w:color="auto" w:sz="6" w:space="0"/>
              <w:right w:val="single" w:color="auto" w:sz="12" w:space="0"/>
            </w:tcBorders>
            <w:vAlign w:val="center"/>
          </w:tcPr>
          <w:p>
            <w:pPr>
              <w:autoSpaceDE w:val="0"/>
              <w:autoSpaceDN w:val="0"/>
              <w:jc w:val="center"/>
              <w:rPr>
                <w:rFonts w:ascii="仿宋_GB2312" w:hAnsi="宋体" w:eastAsia="仿宋_GB2312" w:cs="宋体"/>
                <w:sz w:val="24"/>
                <w:lang w:val="zh-CN"/>
              </w:rPr>
            </w:pPr>
          </w:p>
        </w:tc>
      </w:tr>
      <w:tr>
        <w:tblPrEx>
          <w:tblCellMar>
            <w:top w:w="0" w:type="dxa"/>
            <w:left w:w="108" w:type="dxa"/>
            <w:bottom w:w="0" w:type="dxa"/>
            <w:right w:w="108" w:type="dxa"/>
          </w:tblCellMar>
        </w:tblPrEx>
        <w:trPr>
          <w:cantSplit/>
          <w:trHeight w:val="510" w:hRule="atLeast"/>
        </w:trPr>
        <w:tc>
          <w:tcPr>
            <w:tcW w:w="1689" w:type="dxa"/>
            <w:vMerge w:val="continue"/>
            <w:tcBorders>
              <w:left w:val="single" w:color="auto" w:sz="12" w:space="0"/>
              <w:right w:val="single" w:color="auto" w:sz="4" w:space="0"/>
            </w:tcBorders>
            <w:vAlign w:val="center"/>
          </w:tcPr>
          <w:p>
            <w:pPr>
              <w:autoSpaceDE w:val="0"/>
              <w:autoSpaceDN w:val="0"/>
              <w:adjustRightInd w:val="0"/>
              <w:jc w:val="left"/>
              <w:rPr>
                <w:rFonts w:ascii="仿宋_GB2312" w:hAnsi="宋体" w:eastAsia="仿宋_GB2312" w:cs="宋体"/>
                <w:sz w:val="24"/>
                <w:lang w:val="zh-CN"/>
              </w:rPr>
            </w:pPr>
          </w:p>
        </w:tc>
        <w:tc>
          <w:tcPr>
            <w:tcW w:w="1680" w:type="dxa"/>
            <w:gridSpan w:val="2"/>
            <w:tcBorders>
              <w:top w:val="single" w:color="auto" w:sz="12" w:space="0"/>
              <w:left w:val="single" w:color="auto" w:sz="4" w:space="0"/>
              <w:bottom w:val="single" w:color="auto" w:sz="6" w:space="0"/>
              <w:right w:val="single" w:color="auto" w:sz="4" w:space="0"/>
            </w:tcBorders>
            <w:vAlign w:val="center"/>
          </w:tcPr>
          <w:p>
            <w:pPr>
              <w:autoSpaceDE w:val="0"/>
              <w:autoSpaceDN w:val="0"/>
              <w:jc w:val="center"/>
              <w:rPr>
                <w:rFonts w:ascii="仿宋_GB2312" w:hAnsi="宋体" w:eastAsia="仿宋_GB2312" w:cs="宋体"/>
                <w:sz w:val="24"/>
                <w:lang w:val="zh-CN"/>
              </w:rPr>
            </w:pPr>
          </w:p>
        </w:tc>
        <w:tc>
          <w:tcPr>
            <w:tcW w:w="1250" w:type="dxa"/>
            <w:tcBorders>
              <w:top w:val="single" w:color="auto" w:sz="12" w:space="0"/>
              <w:left w:val="single" w:color="auto" w:sz="4" w:space="0"/>
              <w:bottom w:val="single" w:color="auto" w:sz="6" w:space="0"/>
              <w:right w:val="single" w:color="auto" w:sz="4" w:space="0"/>
            </w:tcBorders>
            <w:vAlign w:val="center"/>
          </w:tcPr>
          <w:p>
            <w:pPr>
              <w:autoSpaceDE w:val="0"/>
              <w:autoSpaceDN w:val="0"/>
              <w:jc w:val="center"/>
              <w:rPr>
                <w:rFonts w:ascii="仿宋_GB2312" w:hAnsi="宋体" w:eastAsia="仿宋_GB2312" w:cs="宋体"/>
                <w:sz w:val="24"/>
                <w:lang w:val="zh-CN"/>
              </w:rPr>
            </w:pPr>
          </w:p>
        </w:tc>
        <w:tc>
          <w:tcPr>
            <w:tcW w:w="1585"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jc w:val="center"/>
              <w:rPr>
                <w:rFonts w:ascii="仿宋_GB2312" w:hAnsi="宋体" w:eastAsia="仿宋_GB2312" w:cs="宋体"/>
                <w:sz w:val="24"/>
                <w:lang w:val="zh-CN"/>
              </w:rPr>
            </w:pPr>
          </w:p>
        </w:tc>
        <w:tc>
          <w:tcPr>
            <w:tcW w:w="1050" w:type="dxa"/>
            <w:tcBorders>
              <w:top w:val="single" w:color="auto" w:sz="12" w:space="0"/>
              <w:left w:val="single" w:color="auto" w:sz="4" w:space="0"/>
              <w:bottom w:val="single" w:color="auto" w:sz="6" w:space="0"/>
              <w:right w:val="single" w:color="auto" w:sz="4" w:space="0"/>
            </w:tcBorders>
            <w:vAlign w:val="center"/>
          </w:tcPr>
          <w:p>
            <w:pPr>
              <w:autoSpaceDE w:val="0"/>
              <w:autoSpaceDN w:val="0"/>
              <w:jc w:val="center"/>
              <w:rPr>
                <w:rFonts w:ascii="仿宋_GB2312" w:hAnsi="宋体" w:eastAsia="仿宋_GB2312" w:cs="宋体"/>
                <w:sz w:val="24"/>
                <w:lang w:val="zh-CN"/>
              </w:rPr>
            </w:pPr>
          </w:p>
        </w:tc>
        <w:tc>
          <w:tcPr>
            <w:tcW w:w="1881" w:type="dxa"/>
            <w:gridSpan w:val="2"/>
            <w:tcBorders>
              <w:top w:val="single" w:color="auto" w:sz="12" w:space="0"/>
              <w:left w:val="single" w:color="auto" w:sz="4" w:space="0"/>
              <w:bottom w:val="single" w:color="auto" w:sz="6" w:space="0"/>
              <w:right w:val="single" w:color="auto" w:sz="12" w:space="0"/>
            </w:tcBorders>
            <w:vAlign w:val="center"/>
          </w:tcPr>
          <w:p>
            <w:pPr>
              <w:autoSpaceDE w:val="0"/>
              <w:autoSpaceDN w:val="0"/>
              <w:jc w:val="center"/>
              <w:rPr>
                <w:rFonts w:ascii="仿宋_GB2312" w:hAnsi="宋体" w:eastAsia="仿宋_GB2312" w:cs="宋体"/>
                <w:sz w:val="24"/>
                <w:lang w:val="zh-CN"/>
              </w:rPr>
            </w:pPr>
          </w:p>
        </w:tc>
      </w:tr>
      <w:tr>
        <w:tblPrEx>
          <w:tblCellMar>
            <w:top w:w="0" w:type="dxa"/>
            <w:left w:w="108" w:type="dxa"/>
            <w:bottom w:w="0" w:type="dxa"/>
            <w:right w:w="108" w:type="dxa"/>
          </w:tblCellMar>
        </w:tblPrEx>
        <w:trPr>
          <w:cantSplit/>
          <w:trHeight w:val="510" w:hRule="atLeast"/>
        </w:trPr>
        <w:tc>
          <w:tcPr>
            <w:tcW w:w="1689" w:type="dxa"/>
            <w:vMerge w:val="continue"/>
            <w:tcBorders>
              <w:left w:val="single" w:color="auto" w:sz="12" w:space="0"/>
              <w:right w:val="single" w:color="auto" w:sz="4" w:space="0"/>
            </w:tcBorders>
            <w:vAlign w:val="center"/>
          </w:tcPr>
          <w:p>
            <w:pPr>
              <w:autoSpaceDE w:val="0"/>
              <w:autoSpaceDN w:val="0"/>
              <w:adjustRightInd w:val="0"/>
              <w:jc w:val="left"/>
              <w:rPr>
                <w:rFonts w:ascii="仿宋_GB2312" w:hAnsi="宋体" w:eastAsia="仿宋_GB2312" w:cs="宋体"/>
                <w:sz w:val="24"/>
                <w:lang w:val="zh-CN"/>
              </w:rPr>
            </w:pPr>
          </w:p>
        </w:tc>
        <w:tc>
          <w:tcPr>
            <w:tcW w:w="5565" w:type="dxa"/>
            <w:gridSpan w:val="7"/>
            <w:tcBorders>
              <w:top w:val="single" w:color="auto" w:sz="12" w:space="0"/>
              <w:left w:val="single" w:color="auto" w:sz="4" w:space="0"/>
              <w:bottom w:val="single" w:color="auto" w:sz="6" w:space="0"/>
              <w:right w:val="single" w:color="auto" w:sz="4" w:space="0"/>
            </w:tcBorders>
            <w:vAlign w:val="center"/>
          </w:tcPr>
          <w:p>
            <w:pPr>
              <w:autoSpaceDE w:val="0"/>
              <w:autoSpaceDN w:val="0"/>
              <w:jc w:val="center"/>
              <w:rPr>
                <w:rFonts w:ascii="仿宋_GB2312" w:hAnsi="宋体" w:eastAsia="仿宋_GB2312" w:cs="宋体"/>
                <w:sz w:val="24"/>
                <w:lang w:val="zh-CN"/>
              </w:rPr>
            </w:pPr>
            <w:r>
              <w:rPr>
                <w:rFonts w:hint="eastAsia" w:ascii="仿宋_GB2312" w:hAnsi="宋体" w:eastAsia="仿宋_GB2312"/>
                <w:sz w:val="24"/>
              </w:rPr>
              <w:t>技术工人</w:t>
            </w:r>
          </w:p>
        </w:tc>
        <w:tc>
          <w:tcPr>
            <w:tcW w:w="1881" w:type="dxa"/>
            <w:gridSpan w:val="2"/>
            <w:tcBorders>
              <w:top w:val="single" w:color="auto" w:sz="12" w:space="0"/>
              <w:left w:val="single" w:color="auto" w:sz="4" w:space="0"/>
              <w:bottom w:val="single" w:color="auto" w:sz="6" w:space="0"/>
              <w:right w:val="single" w:color="auto" w:sz="12" w:space="0"/>
            </w:tcBorders>
            <w:vAlign w:val="center"/>
          </w:tcPr>
          <w:p>
            <w:pPr>
              <w:autoSpaceDE w:val="0"/>
              <w:autoSpaceDN w:val="0"/>
              <w:jc w:val="center"/>
              <w:rPr>
                <w:rFonts w:ascii="仿宋_GB2312" w:hAnsi="宋体" w:eastAsia="仿宋_GB2312" w:cs="宋体"/>
                <w:sz w:val="24"/>
                <w:lang w:val="zh-CN"/>
              </w:rPr>
            </w:pPr>
          </w:p>
        </w:tc>
      </w:tr>
      <w:tr>
        <w:tblPrEx>
          <w:tblCellMar>
            <w:top w:w="0" w:type="dxa"/>
            <w:left w:w="108" w:type="dxa"/>
            <w:bottom w:w="0" w:type="dxa"/>
            <w:right w:w="108" w:type="dxa"/>
          </w:tblCellMar>
        </w:tblPrEx>
        <w:trPr>
          <w:cantSplit/>
          <w:trHeight w:val="510" w:hRule="atLeast"/>
        </w:trPr>
        <w:tc>
          <w:tcPr>
            <w:tcW w:w="1689" w:type="dxa"/>
            <w:vMerge w:val="continue"/>
            <w:tcBorders>
              <w:left w:val="single" w:color="auto" w:sz="12" w:space="0"/>
              <w:right w:val="single" w:color="auto" w:sz="4" w:space="0"/>
            </w:tcBorders>
            <w:vAlign w:val="center"/>
          </w:tcPr>
          <w:p>
            <w:pPr>
              <w:autoSpaceDE w:val="0"/>
              <w:autoSpaceDN w:val="0"/>
              <w:adjustRightInd w:val="0"/>
              <w:jc w:val="left"/>
              <w:rPr>
                <w:rFonts w:ascii="仿宋_GB2312" w:hAnsi="宋体" w:eastAsia="仿宋_GB2312" w:cs="宋体"/>
                <w:sz w:val="24"/>
                <w:lang w:val="zh-CN"/>
              </w:rPr>
            </w:pPr>
          </w:p>
        </w:tc>
        <w:tc>
          <w:tcPr>
            <w:tcW w:w="1680" w:type="dxa"/>
            <w:gridSpan w:val="2"/>
            <w:tcBorders>
              <w:top w:val="single" w:color="auto" w:sz="12" w:space="0"/>
              <w:left w:val="single" w:color="auto" w:sz="4" w:space="0"/>
              <w:bottom w:val="single" w:color="auto" w:sz="6" w:space="0"/>
              <w:right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8级以上</w:t>
            </w:r>
          </w:p>
        </w:tc>
        <w:tc>
          <w:tcPr>
            <w:tcW w:w="1250" w:type="dxa"/>
            <w:tcBorders>
              <w:top w:val="single" w:color="auto" w:sz="12" w:space="0"/>
              <w:left w:val="single" w:color="auto" w:sz="4" w:space="0"/>
              <w:bottom w:val="single" w:color="auto" w:sz="6" w:space="0"/>
              <w:right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6～8级</w:t>
            </w:r>
          </w:p>
        </w:tc>
        <w:tc>
          <w:tcPr>
            <w:tcW w:w="1585" w:type="dxa"/>
            <w:gridSpan w:val="3"/>
            <w:tcBorders>
              <w:top w:val="single" w:color="auto" w:sz="12" w:space="0"/>
              <w:left w:val="single" w:color="auto" w:sz="4" w:space="0"/>
              <w:bottom w:val="single" w:color="auto" w:sz="6" w:space="0"/>
              <w:right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4～6级</w:t>
            </w:r>
          </w:p>
        </w:tc>
        <w:tc>
          <w:tcPr>
            <w:tcW w:w="1050" w:type="dxa"/>
            <w:tcBorders>
              <w:top w:val="single" w:color="auto" w:sz="12" w:space="0"/>
              <w:left w:val="single" w:color="auto" w:sz="4" w:space="0"/>
              <w:bottom w:val="single" w:color="auto" w:sz="6" w:space="0"/>
              <w:right w:val="single" w:color="auto" w:sz="4" w:space="0"/>
            </w:tcBorders>
            <w:vAlign w:val="center"/>
          </w:tcPr>
          <w:p>
            <w:pPr>
              <w:jc w:val="center"/>
              <w:rPr>
                <w:rFonts w:ascii="仿宋_GB2312" w:hAnsi="宋体" w:eastAsia="仿宋_GB2312"/>
                <w:sz w:val="24"/>
              </w:rPr>
            </w:pPr>
            <w:r>
              <w:rPr>
                <w:rFonts w:hint="eastAsia" w:ascii="仿宋_GB2312" w:hAnsi="宋体" w:eastAsia="仿宋_GB2312"/>
                <w:sz w:val="24"/>
              </w:rPr>
              <w:t>1～3级</w:t>
            </w:r>
          </w:p>
        </w:tc>
        <w:tc>
          <w:tcPr>
            <w:tcW w:w="1881" w:type="dxa"/>
            <w:gridSpan w:val="2"/>
            <w:tcBorders>
              <w:top w:val="single" w:color="auto" w:sz="12" w:space="0"/>
              <w:left w:val="single" w:color="auto" w:sz="4" w:space="0"/>
              <w:bottom w:val="single" w:color="auto" w:sz="6" w:space="0"/>
              <w:right w:val="single" w:color="auto" w:sz="12" w:space="0"/>
            </w:tcBorders>
            <w:vAlign w:val="center"/>
          </w:tcPr>
          <w:p>
            <w:pPr>
              <w:autoSpaceDE w:val="0"/>
              <w:autoSpaceDN w:val="0"/>
              <w:jc w:val="center"/>
              <w:rPr>
                <w:rFonts w:ascii="仿宋_GB2312" w:hAnsi="宋体" w:eastAsia="仿宋_GB2312" w:cs="宋体"/>
                <w:sz w:val="24"/>
                <w:lang w:val="zh-CN"/>
              </w:rPr>
            </w:pPr>
            <w:r>
              <w:rPr>
                <w:rFonts w:hint="eastAsia" w:ascii="仿宋_GB2312" w:hAnsi="宋体" w:eastAsia="仿宋_GB2312"/>
                <w:sz w:val="24"/>
              </w:rPr>
              <w:t>普通工人</w:t>
            </w:r>
          </w:p>
        </w:tc>
      </w:tr>
      <w:tr>
        <w:tblPrEx>
          <w:tblCellMar>
            <w:top w:w="0" w:type="dxa"/>
            <w:left w:w="108" w:type="dxa"/>
            <w:bottom w:w="0" w:type="dxa"/>
            <w:right w:w="108" w:type="dxa"/>
          </w:tblCellMar>
        </w:tblPrEx>
        <w:trPr>
          <w:cantSplit/>
          <w:trHeight w:val="510" w:hRule="atLeast"/>
        </w:trPr>
        <w:tc>
          <w:tcPr>
            <w:tcW w:w="1689" w:type="dxa"/>
            <w:vMerge w:val="continue"/>
            <w:tcBorders>
              <w:left w:val="single" w:color="auto" w:sz="12" w:space="0"/>
              <w:bottom w:val="single" w:color="auto" w:sz="6" w:space="0"/>
              <w:right w:val="single" w:color="auto" w:sz="4" w:space="0"/>
            </w:tcBorders>
            <w:vAlign w:val="center"/>
          </w:tcPr>
          <w:p>
            <w:pPr>
              <w:autoSpaceDE w:val="0"/>
              <w:autoSpaceDN w:val="0"/>
              <w:adjustRightInd w:val="0"/>
              <w:jc w:val="left"/>
              <w:rPr>
                <w:rFonts w:ascii="仿宋_GB2312" w:hAnsi="宋体" w:eastAsia="仿宋_GB2312" w:cs="宋体"/>
                <w:sz w:val="24"/>
                <w:lang w:val="zh-CN"/>
              </w:rPr>
            </w:pPr>
          </w:p>
        </w:tc>
        <w:tc>
          <w:tcPr>
            <w:tcW w:w="1680" w:type="dxa"/>
            <w:gridSpan w:val="2"/>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left"/>
              <w:rPr>
                <w:rFonts w:ascii="仿宋_GB2312" w:hAnsi="宋体" w:eastAsia="仿宋_GB2312" w:cs="宋体"/>
                <w:sz w:val="24"/>
                <w:lang w:val="zh-CN"/>
              </w:rPr>
            </w:pPr>
          </w:p>
        </w:tc>
        <w:tc>
          <w:tcPr>
            <w:tcW w:w="1250" w:type="dxa"/>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left"/>
              <w:rPr>
                <w:rFonts w:ascii="仿宋_GB2312" w:hAnsi="宋体" w:eastAsia="仿宋_GB2312" w:cs="宋体"/>
                <w:sz w:val="24"/>
                <w:lang w:val="zh-CN"/>
              </w:rPr>
            </w:pPr>
          </w:p>
        </w:tc>
        <w:tc>
          <w:tcPr>
            <w:tcW w:w="1585"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left"/>
              <w:rPr>
                <w:rFonts w:ascii="仿宋_GB2312" w:hAnsi="宋体" w:eastAsia="仿宋_GB2312" w:cs="宋体"/>
                <w:sz w:val="24"/>
                <w:lang w:val="zh-CN"/>
              </w:rPr>
            </w:pPr>
          </w:p>
        </w:tc>
        <w:tc>
          <w:tcPr>
            <w:tcW w:w="1050" w:type="dxa"/>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left"/>
              <w:rPr>
                <w:rFonts w:ascii="仿宋_GB2312" w:hAnsi="宋体" w:eastAsia="仿宋_GB2312" w:cs="宋体"/>
                <w:sz w:val="24"/>
                <w:lang w:val="zh-CN"/>
              </w:rPr>
            </w:pPr>
          </w:p>
        </w:tc>
        <w:tc>
          <w:tcPr>
            <w:tcW w:w="1881" w:type="dxa"/>
            <w:gridSpan w:val="2"/>
            <w:tcBorders>
              <w:top w:val="single" w:color="auto" w:sz="12" w:space="0"/>
              <w:left w:val="single" w:color="auto" w:sz="4" w:space="0"/>
              <w:bottom w:val="single" w:color="auto" w:sz="6" w:space="0"/>
              <w:right w:val="single" w:color="auto" w:sz="12" w:space="0"/>
            </w:tcBorders>
            <w:vAlign w:val="center"/>
          </w:tcPr>
          <w:p>
            <w:pPr>
              <w:autoSpaceDE w:val="0"/>
              <w:autoSpaceDN w:val="0"/>
              <w:adjustRightInd w:val="0"/>
              <w:jc w:val="left"/>
              <w:rPr>
                <w:rFonts w:ascii="仿宋_GB2312" w:hAnsi="宋体" w:eastAsia="仿宋_GB2312" w:cs="宋体"/>
                <w:sz w:val="24"/>
                <w:lang w:val="zh-CN"/>
              </w:rPr>
            </w:pPr>
          </w:p>
        </w:tc>
      </w:tr>
      <w:tr>
        <w:tblPrEx>
          <w:tblCellMar>
            <w:top w:w="0" w:type="dxa"/>
            <w:left w:w="108" w:type="dxa"/>
            <w:bottom w:w="0" w:type="dxa"/>
            <w:right w:w="108" w:type="dxa"/>
          </w:tblCellMar>
        </w:tblPrEx>
        <w:trPr>
          <w:trHeight w:val="626" w:hRule="atLeast"/>
        </w:trPr>
        <w:tc>
          <w:tcPr>
            <w:tcW w:w="9135" w:type="dxa"/>
            <w:gridSpan w:val="10"/>
            <w:tcBorders>
              <w:top w:val="single" w:color="auto" w:sz="6" w:space="0"/>
              <w:left w:val="single" w:color="auto" w:sz="12" w:space="0"/>
              <w:bottom w:val="single" w:color="auto" w:sz="6" w:space="0"/>
              <w:right w:val="single" w:color="auto" w:sz="12" w:space="0"/>
            </w:tcBorders>
            <w:vAlign w:val="center"/>
          </w:tcPr>
          <w:p>
            <w:pPr>
              <w:autoSpaceDE w:val="0"/>
              <w:autoSpaceDN w:val="0"/>
              <w:adjustRightInd w:val="0"/>
              <w:jc w:val="left"/>
              <w:rPr>
                <w:rFonts w:ascii="仿宋_GB2312" w:hAnsi="宋体" w:eastAsia="仿宋_GB2312" w:cs="宋体"/>
                <w:sz w:val="24"/>
                <w:lang w:val="zh-CN"/>
              </w:rPr>
            </w:pPr>
            <w:r>
              <w:rPr>
                <w:rFonts w:hint="eastAsia" w:ascii="仿宋_GB2312" w:hAnsi="宋体" w:eastAsia="仿宋_GB2312"/>
                <w:sz w:val="24"/>
              </w:rPr>
              <w:t>2</w:t>
            </w:r>
            <w:r>
              <w:rPr>
                <w:rFonts w:hint="eastAsia" w:ascii="仿宋_GB2312" w:hAnsi="宋体" w:eastAsia="仿宋_GB2312" w:cs="宋体"/>
                <w:sz w:val="24"/>
                <w:lang w:val="zh-CN"/>
              </w:rPr>
              <w:t>．拟派往本招标工程项目的管理人员和技术人员</w:t>
            </w:r>
          </w:p>
        </w:tc>
      </w:tr>
      <w:tr>
        <w:tblPrEx>
          <w:tblCellMar>
            <w:top w:w="0" w:type="dxa"/>
            <w:left w:w="108" w:type="dxa"/>
            <w:bottom w:w="0" w:type="dxa"/>
            <w:right w:w="108" w:type="dxa"/>
          </w:tblCellMar>
        </w:tblPrEx>
        <w:trPr>
          <w:cantSplit/>
          <w:trHeight w:val="450" w:hRule="atLeast"/>
        </w:trPr>
        <w:tc>
          <w:tcPr>
            <w:tcW w:w="3089" w:type="dxa"/>
            <w:gridSpan w:val="2"/>
            <w:vMerge w:val="restart"/>
            <w:tcBorders>
              <w:top w:val="single" w:color="auto" w:sz="6" w:space="0"/>
              <w:left w:val="single" w:color="auto" w:sz="12" w:space="0"/>
              <w:right w:val="single" w:color="auto" w:sz="6" w:space="0"/>
            </w:tcBorders>
            <w:vAlign w:val="center"/>
          </w:tcPr>
          <w:p>
            <w:pPr>
              <w:autoSpaceDE w:val="0"/>
              <w:autoSpaceDN w:val="0"/>
              <w:adjustRightInd w:val="0"/>
              <w:ind w:left="1140" w:hanging="1140" w:hangingChars="475"/>
              <w:jc w:val="left"/>
              <w:rPr>
                <w:rFonts w:ascii="仿宋_GB2312" w:hAnsi="宋体" w:eastAsia="仿宋_GB2312" w:cs="宋体"/>
                <w:sz w:val="24"/>
                <w:lang w:val="zh-CN"/>
              </w:rPr>
            </w:pPr>
            <w:r>
              <w:rPr>
                <w:rFonts w:ascii="仿宋_GB2312" w:hAnsi="宋体" w:eastAsia="仿宋_GB2312" w:cs="宋体"/>
                <w:sz w:val="24"/>
              </w:rPr>
              <w:pict>
                <v:line id="Line 12" o:spid="_x0000_s1026" o:spt="20" style="position:absolute;left:0pt;margin-left:-4.9pt;margin-top:-0.75pt;height:46.8pt;width:152.2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9cyAEAAG8DAAAOAAAAZHJzL2Uyb0RvYy54bWysU01v2zAMvQ/YfxB0Xxwnc7cYcXpI112y&#10;LUDbH8BIsi1MFgVJiZN/P0r5WLfehvkgUCL5+PhIL++Pg2EH5YNG2/ByMuVMWYFS267hL8+PHz5z&#10;FiJYCQatavhJBX6/ev9uObpazbBHI5VnBGJDPbqG9zG6uiiC6NUAYYJOWXK26AeIdPVdIT2MhD6Y&#10;Yjad3hUjeuk8ChUCvT6cnXyV8dtWifijbYOKzDScuMV8+nzu0lmsllB3HlyvxYUG/AOLAbSlojeo&#10;B4jA9l6/gRq08BiwjROBQ4Ftq4XKPVA35fSvbp56cCr3QuIEd5Mp/D9Y8f2w9UzLhs85szDQiDba&#10;KlbOkjSjCzVFrO3Wp+bE0T65DYqfgVlc92A7lSk+nxzllSmj+CMlXYKjArvxG0qKgX3ErNOx9UOC&#10;JAXYMY/jdBuHOkYm6LFczOfVp4ozQb5q8XF+l+dVQH3Ndj7ErwoHloyGG2Ke0eGwCTGxgfoakopZ&#10;fNTG5JEby8aGL6pZlRMCGi2TM4UF3+3WxrMDpKXJX26NPK/DPO6tzGC9AvnlYkfQ5mxTcWMviiQR&#10;znLuUJ62/qoUTTWzvGxgWpvX95z9+z9Z/QIAAP//AwBQSwMEFAAGAAgAAAAhABOhbLfeAAAACAEA&#10;AA8AAABkcnMvZG93bnJldi54bWxMj0FPg0AQhe8m/ofNmHhp2gXUKsjSGJVbL9Yar1MYgcjOUnbb&#10;or/e8aSnyct7ee+bfDXZXh1p9J1jA/EiAkVcubrjxsD2tZzfgfIBucbeMRn4Ig+r4vwsx6x2J36h&#10;4yY0SkrYZ2igDWHItPZVSxb9wg3E4n240WIQOTa6HvEk5bbXSRQttcWOZaHFgR5bqj43B2vAl2+0&#10;L79n1Sx6v2ocJfun9TMac3kxPdyDCjSFvzD84gs6FMK0cweuveoNzFMhD3LjG1DiJ+n1LaidgTSJ&#10;QRe5/v9A8QMAAP//AwBQSwECLQAUAAYACAAAACEAtoM4kv4AAADhAQAAEwAAAAAAAAAAAAAAAAAA&#10;AAAAW0NvbnRlbnRfVHlwZXNdLnhtbFBLAQItABQABgAIAAAAIQA4/SH/1gAAAJQBAAALAAAAAAAA&#10;AAAAAAAAAC8BAABfcmVscy8ucmVsc1BLAQItABQABgAIAAAAIQD+z39cyAEAAG8DAAAOAAAAAAAA&#10;AAAAAAAAAC4CAABkcnMvZTJvRG9jLnhtbFBLAQItABQABgAIAAAAIQAToWy33gAAAAgBAAAPAAAA&#10;AAAAAAAAAAAAACIEAABkcnMvZG93bnJldi54bWxQSwUGAAAAAAQABADzAAAALQUAAAAA&#10;">
                  <v:path arrowok="t"/>
                  <v:fill focussize="0,0"/>
                  <v:stroke/>
                  <v:imagedata o:title=""/>
                  <o:lock v:ext="edit"/>
                </v:line>
              </w:pict>
            </w:r>
            <w:r>
              <w:rPr>
                <w:rFonts w:hint="eastAsia" w:ascii="仿宋_GB2312" w:hAnsi="宋体" w:eastAsia="仿宋_GB2312" w:cs="宋体"/>
                <w:sz w:val="24"/>
                <w:lang w:val="zh-CN"/>
              </w:rPr>
              <w:t xml:space="preserve">                   数量                               </w:t>
            </w:r>
          </w:p>
          <w:p>
            <w:pPr>
              <w:autoSpaceDE w:val="0"/>
              <w:autoSpaceDN w:val="0"/>
              <w:adjustRightInd w:val="0"/>
              <w:ind w:left="1140" w:hanging="1140" w:hangingChars="475"/>
              <w:jc w:val="left"/>
              <w:rPr>
                <w:rFonts w:ascii="仿宋_GB2312" w:hAnsi="宋体" w:eastAsia="仿宋_GB2312" w:cs="宋体"/>
                <w:sz w:val="24"/>
                <w:lang w:val="zh-CN"/>
              </w:rPr>
            </w:pPr>
          </w:p>
          <w:p>
            <w:pPr>
              <w:autoSpaceDE w:val="0"/>
              <w:autoSpaceDN w:val="0"/>
              <w:adjustRightInd w:val="0"/>
              <w:ind w:left="1140" w:hanging="1140" w:hangingChars="475"/>
              <w:jc w:val="left"/>
              <w:rPr>
                <w:rFonts w:ascii="仿宋_GB2312" w:hAnsi="宋体" w:eastAsia="仿宋_GB2312" w:cs="宋体"/>
                <w:sz w:val="24"/>
                <w:lang w:val="zh-CN"/>
              </w:rPr>
            </w:pPr>
            <w:r>
              <w:rPr>
                <w:rFonts w:hint="eastAsia" w:ascii="仿宋_GB2312" w:hAnsi="宋体" w:eastAsia="仿宋_GB2312" w:cs="宋体"/>
                <w:sz w:val="24"/>
                <w:lang w:val="zh-CN"/>
              </w:rPr>
              <w:t>人员类别</w:t>
            </w:r>
          </w:p>
        </w:tc>
        <w:tc>
          <w:tcPr>
            <w:tcW w:w="6046" w:type="dxa"/>
            <w:gridSpan w:val="8"/>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center"/>
              <w:rPr>
                <w:rFonts w:ascii="仿宋_GB2312" w:hAnsi="宋体" w:eastAsia="仿宋_GB2312" w:cs="宋体"/>
                <w:sz w:val="24"/>
                <w:lang w:val="zh-CN"/>
              </w:rPr>
            </w:pPr>
            <w:r>
              <w:rPr>
                <w:rFonts w:hint="eastAsia" w:ascii="仿宋_GB2312" w:hAnsi="宋体" w:eastAsia="仿宋_GB2312" w:cs="宋体"/>
                <w:sz w:val="24"/>
                <w:lang w:val="zh-CN"/>
              </w:rPr>
              <w:t>从事本专业工作时间</w:t>
            </w:r>
          </w:p>
        </w:tc>
      </w:tr>
      <w:tr>
        <w:tblPrEx>
          <w:tblCellMar>
            <w:top w:w="0" w:type="dxa"/>
            <w:left w:w="108" w:type="dxa"/>
            <w:bottom w:w="0" w:type="dxa"/>
            <w:right w:w="108" w:type="dxa"/>
          </w:tblCellMar>
        </w:tblPrEx>
        <w:trPr>
          <w:cantSplit/>
          <w:trHeight w:val="450" w:hRule="atLeast"/>
        </w:trPr>
        <w:tc>
          <w:tcPr>
            <w:tcW w:w="3089" w:type="dxa"/>
            <w:gridSpan w:val="2"/>
            <w:vMerge w:val="continue"/>
            <w:tcBorders>
              <w:left w:val="single" w:color="auto" w:sz="12" w:space="0"/>
              <w:bottom w:val="nil"/>
              <w:right w:val="single" w:color="auto" w:sz="6" w:space="0"/>
            </w:tcBorders>
            <w:vAlign w:val="center"/>
          </w:tcPr>
          <w:p>
            <w:pPr>
              <w:autoSpaceDE w:val="0"/>
              <w:autoSpaceDN w:val="0"/>
              <w:adjustRightInd w:val="0"/>
              <w:ind w:left="1140" w:hanging="1140" w:hangingChars="475"/>
              <w:jc w:val="left"/>
              <w:rPr>
                <w:rFonts w:ascii="仿宋_GB2312" w:hAnsi="宋体" w:eastAsia="仿宋_GB2312" w:cs="宋体"/>
                <w:sz w:val="24"/>
                <w:lang w:val="zh-CN"/>
              </w:rPr>
            </w:pPr>
          </w:p>
        </w:tc>
        <w:tc>
          <w:tcPr>
            <w:tcW w:w="2120" w:type="dxa"/>
            <w:gridSpan w:val="4"/>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jc w:val="center"/>
              <w:rPr>
                <w:rFonts w:ascii="仿宋_GB2312" w:hAnsi="宋体" w:eastAsia="仿宋_GB2312" w:cs="宋体"/>
                <w:sz w:val="24"/>
                <w:lang w:val="zh-CN"/>
              </w:rPr>
            </w:pPr>
            <w:r>
              <w:rPr>
                <w:rFonts w:hint="eastAsia" w:ascii="仿宋_GB2312" w:hAnsi="宋体" w:eastAsia="仿宋_GB2312" w:cs="宋体"/>
                <w:sz w:val="24"/>
                <w:lang w:val="zh-CN"/>
              </w:rPr>
              <w:t>10年以上</w:t>
            </w:r>
          </w:p>
        </w:tc>
        <w:tc>
          <w:tcPr>
            <w:tcW w:w="2301"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仿宋_GB2312" w:hAnsi="宋体" w:eastAsia="仿宋_GB2312" w:cs="宋体"/>
                <w:sz w:val="24"/>
                <w:lang w:val="zh-CN"/>
              </w:rPr>
            </w:pPr>
            <w:r>
              <w:rPr>
                <w:rFonts w:hint="eastAsia" w:ascii="仿宋_GB2312" w:hAnsi="宋体" w:eastAsia="仿宋_GB2312" w:cs="宋体"/>
                <w:sz w:val="24"/>
                <w:lang w:val="zh-CN"/>
              </w:rPr>
              <w:t>5年至10年</w:t>
            </w:r>
          </w:p>
        </w:tc>
        <w:tc>
          <w:tcPr>
            <w:tcW w:w="1625"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仿宋_GB2312" w:hAnsi="宋体" w:eastAsia="仿宋_GB2312" w:cs="宋体"/>
                <w:sz w:val="24"/>
                <w:lang w:val="zh-CN"/>
              </w:rPr>
            </w:pPr>
            <w:r>
              <w:rPr>
                <w:rFonts w:hint="eastAsia" w:ascii="仿宋_GB2312" w:hAnsi="宋体" w:eastAsia="仿宋_GB2312" w:cs="宋体"/>
                <w:sz w:val="24"/>
                <w:lang w:val="zh-CN"/>
              </w:rPr>
              <w:t>5年以下</w:t>
            </w:r>
          </w:p>
        </w:tc>
      </w:tr>
      <w:tr>
        <w:tblPrEx>
          <w:tblCellMar>
            <w:top w:w="0" w:type="dxa"/>
            <w:left w:w="108" w:type="dxa"/>
            <w:bottom w:w="0" w:type="dxa"/>
            <w:right w:w="108" w:type="dxa"/>
          </w:tblCellMar>
        </w:tblPrEx>
        <w:trPr>
          <w:trHeight w:val="576" w:hRule="atLeast"/>
        </w:trPr>
        <w:tc>
          <w:tcPr>
            <w:tcW w:w="3089"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r>
              <w:rPr>
                <w:rFonts w:hint="eastAsia" w:ascii="仿宋_GB2312" w:hAnsi="宋体" w:eastAsia="仿宋_GB2312" w:cs="宋体"/>
                <w:sz w:val="24"/>
                <w:lang w:val="zh-CN"/>
              </w:rPr>
              <w:t>管理人员(如下所列)</w:t>
            </w:r>
          </w:p>
        </w:tc>
        <w:tc>
          <w:tcPr>
            <w:tcW w:w="2111"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310"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1625"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仿宋_GB2312" w:hAnsi="宋体" w:eastAsia="仿宋_GB2312" w:cs="宋体"/>
                <w:sz w:val="24"/>
                <w:lang w:val="zh-CN"/>
              </w:rPr>
            </w:pPr>
          </w:p>
        </w:tc>
      </w:tr>
      <w:tr>
        <w:tblPrEx>
          <w:tblCellMar>
            <w:top w:w="0" w:type="dxa"/>
            <w:left w:w="108" w:type="dxa"/>
            <w:bottom w:w="0" w:type="dxa"/>
            <w:right w:w="108" w:type="dxa"/>
          </w:tblCellMar>
        </w:tblPrEx>
        <w:trPr>
          <w:trHeight w:val="425" w:hRule="atLeast"/>
        </w:trPr>
        <w:tc>
          <w:tcPr>
            <w:tcW w:w="3089"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111"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310"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1625"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仿宋_GB2312" w:hAnsi="宋体" w:eastAsia="仿宋_GB2312" w:cs="宋体"/>
                <w:sz w:val="24"/>
                <w:lang w:val="zh-CN"/>
              </w:rPr>
            </w:pPr>
          </w:p>
        </w:tc>
      </w:tr>
      <w:tr>
        <w:tblPrEx>
          <w:tblCellMar>
            <w:top w:w="0" w:type="dxa"/>
            <w:left w:w="108" w:type="dxa"/>
            <w:bottom w:w="0" w:type="dxa"/>
            <w:right w:w="108" w:type="dxa"/>
          </w:tblCellMar>
        </w:tblPrEx>
        <w:trPr>
          <w:trHeight w:val="425" w:hRule="atLeast"/>
        </w:trPr>
        <w:tc>
          <w:tcPr>
            <w:tcW w:w="3089" w:type="dxa"/>
            <w:gridSpan w:val="2"/>
            <w:tcBorders>
              <w:top w:val="single" w:color="auto" w:sz="6" w:space="0"/>
              <w:left w:val="single" w:color="auto" w:sz="12" w:space="0"/>
              <w:bottom w:val="single" w:color="auto" w:sz="6" w:space="0"/>
              <w:right w:val="single" w:color="auto" w:sz="6" w:space="0"/>
            </w:tcBorders>
          </w:tcPr>
          <w:p>
            <w:pPr>
              <w:autoSpaceDE w:val="0"/>
              <w:autoSpaceDN w:val="0"/>
              <w:adjustRightInd w:val="0"/>
              <w:jc w:val="left"/>
              <w:rPr>
                <w:rFonts w:ascii="仿宋_GB2312" w:hAnsi="宋体" w:eastAsia="仿宋_GB2312" w:cs="宋体"/>
                <w:sz w:val="24"/>
                <w:lang w:val="zh-CN"/>
              </w:rPr>
            </w:pPr>
          </w:p>
        </w:tc>
        <w:tc>
          <w:tcPr>
            <w:tcW w:w="2111" w:type="dxa"/>
            <w:gridSpan w:val="3"/>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仿宋_GB2312" w:hAnsi="宋体" w:eastAsia="仿宋_GB2312" w:cs="宋体"/>
                <w:sz w:val="24"/>
                <w:lang w:val="zh-CN"/>
              </w:rPr>
            </w:pPr>
          </w:p>
        </w:tc>
        <w:tc>
          <w:tcPr>
            <w:tcW w:w="2310" w:type="dxa"/>
            <w:gridSpan w:val="4"/>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仿宋_GB2312" w:hAnsi="宋体" w:eastAsia="仿宋_GB2312" w:cs="宋体"/>
                <w:sz w:val="24"/>
                <w:lang w:val="zh-CN"/>
              </w:rPr>
            </w:pPr>
          </w:p>
        </w:tc>
        <w:tc>
          <w:tcPr>
            <w:tcW w:w="1625" w:type="dxa"/>
            <w:tcBorders>
              <w:top w:val="single" w:color="auto" w:sz="6" w:space="0"/>
              <w:left w:val="single" w:color="auto" w:sz="6" w:space="0"/>
              <w:bottom w:val="single" w:color="auto" w:sz="6" w:space="0"/>
              <w:right w:val="single" w:color="auto" w:sz="12" w:space="0"/>
            </w:tcBorders>
          </w:tcPr>
          <w:p>
            <w:pPr>
              <w:autoSpaceDE w:val="0"/>
              <w:autoSpaceDN w:val="0"/>
              <w:adjustRightInd w:val="0"/>
              <w:jc w:val="left"/>
              <w:rPr>
                <w:rFonts w:ascii="仿宋_GB2312" w:hAnsi="宋体" w:eastAsia="仿宋_GB2312" w:cs="宋体"/>
                <w:sz w:val="24"/>
                <w:lang w:val="zh-CN"/>
              </w:rPr>
            </w:pPr>
          </w:p>
        </w:tc>
      </w:tr>
      <w:tr>
        <w:tblPrEx>
          <w:tblCellMar>
            <w:top w:w="0" w:type="dxa"/>
            <w:left w:w="108" w:type="dxa"/>
            <w:bottom w:w="0" w:type="dxa"/>
            <w:right w:w="108" w:type="dxa"/>
          </w:tblCellMar>
        </w:tblPrEx>
        <w:trPr>
          <w:trHeight w:val="425" w:hRule="atLeast"/>
        </w:trPr>
        <w:tc>
          <w:tcPr>
            <w:tcW w:w="3089"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111"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310"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1625"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仿宋_GB2312" w:hAnsi="宋体" w:eastAsia="仿宋_GB2312" w:cs="宋体"/>
                <w:sz w:val="24"/>
                <w:lang w:val="zh-CN"/>
              </w:rPr>
            </w:pPr>
          </w:p>
        </w:tc>
      </w:tr>
      <w:tr>
        <w:tblPrEx>
          <w:tblCellMar>
            <w:top w:w="0" w:type="dxa"/>
            <w:left w:w="108" w:type="dxa"/>
            <w:bottom w:w="0" w:type="dxa"/>
            <w:right w:w="108" w:type="dxa"/>
          </w:tblCellMar>
        </w:tblPrEx>
        <w:trPr>
          <w:trHeight w:val="425" w:hRule="atLeast"/>
        </w:trPr>
        <w:tc>
          <w:tcPr>
            <w:tcW w:w="3089"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111"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310"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1625"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仿宋_GB2312" w:hAnsi="宋体" w:eastAsia="仿宋_GB2312" w:cs="宋体"/>
                <w:sz w:val="24"/>
                <w:lang w:val="zh-CN"/>
              </w:rPr>
            </w:pPr>
          </w:p>
        </w:tc>
      </w:tr>
      <w:tr>
        <w:tblPrEx>
          <w:tblCellMar>
            <w:top w:w="0" w:type="dxa"/>
            <w:left w:w="108" w:type="dxa"/>
            <w:bottom w:w="0" w:type="dxa"/>
            <w:right w:w="108" w:type="dxa"/>
          </w:tblCellMar>
        </w:tblPrEx>
        <w:trPr>
          <w:trHeight w:val="425" w:hRule="atLeast"/>
        </w:trPr>
        <w:tc>
          <w:tcPr>
            <w:tcW w:w="3089" w:type="dxa"/>
            <w:gridSpan w:val="2"/>
            <w:tcBorders>
              <w:top w:val="nil"/>
              <w:left w:val="single" w:color="auto" w:sz="12"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111"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310"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1625"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仿宋_GB2312" w:hAnsi="宋体" w:eastAsia="仿宋_GB2312" w:cs="宋体"/>
                <w:sz w:val="24"/>
                <w:lang w:val="zh-CN"/>
              </w:rPr>
            </w:pPr>
          </w:p>
        </w:tc>
      </w:tr>
      <w:tr>
        <w:tblPrEx>
          <w:tblCellMar>
            <w:top w:w="0" w:type="dxa"/>
            <w:left w:w="108" w:type="dxa"/>
            <w:bottom w:w="0" w:type="dxa"/>
            <w:right w:w="108" w:type="dxa"/>
          </w:tblCellMar>
        </w:tblPrEx>
        <w:trPr>
          <w:trHeight w:val="425" w:hRule="atLeast"/>
        </w:trPr>
        <w:tc>
          <w:tcPr>
            <w:tcW w:w="3089"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b/>
                <w:sz w:val="24"/>
                <w:lang w:val="zh-CN"/>
              </w:rPr>
            </w:pPr>
          </w:p>
        </w:tc>
        <w:tc>
          <w:tcPr>
            <w:tcW w:w="2111"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310"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1625"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仿宋_GB2312" w:hAnsi="宋体" w:eastAsia="仿宋_GB2312" w:cs="宋体"/>
                <w:sz w:val="24"/>
                <w:lang w:val="zh-CN"/>
              </w:rPr>
            </w:pPr>
          </w:p>
        </w:tc>
      </w:tr>
      <w:tr>
        <w:tblPrEx>
          <w:tblCellMar>
            <w:top w:w="0" w:type="dxa"/>
            <w:left w:w="108" w:type="dxa"/>
            <w:bottom w:w="0" w:type="dxa"/>
            <w:right w:w="108" w:type="dxa"/>
          </w:tblCellMar>
        </w:tblPrEx>
        <w:trPr>
          <w:trHeight w:val="425" w:hRule="atLeast"/>
        </w:trPr>
        <w:tc>
          <w:tcPr>
            <w:tcW w:w="3089"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b/>
                <w:sz w:val="24"/>
                <w:lang w:val="zh-CN"/>
              </w:rPr>
            </w:pPr>
          </w:p>
        </w:tc>
        <w:tc>
          <w:tcPr>
            <w:tcW w:w="2111"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310"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1625"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仿宋_GB2312" w:hAnsi="宋体" w:eastAsia="仿宋_GB2312" w:cs="宋体"/>
                <w:sz w:val="24"/>
                <w:lang w:val="zh-CN"/>
              </w:rPr>
            </w:pPr>
          </w:p>
        </w:tc>
      </w:tr>
      <w:tr>
        <w:tblPrEx>
          <w:tblCellMar>
            <w:top w:w="0" w:type="dxa"/>
            <w:left w:w="108" w:type="dxa"/>
            <w:bottom w:w="0" w:type="dxa"/>
            <w:right w:w="108" w:type="dxa"/>
          </w:tblCellMar>
        </w:tblPrEx>
        <w:trPr>
          <w:trHeight w:val="425" w:hRule="atLeast"/>
        </w:trPr>
        <w:tc>
          <w:tcPr>
            <w:tcW w:w="3089"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b/>
                <w:sz w:val="24"/>
                <w:lang w:val="zh-CN"/>
              </w:rPr>
            </w:pPr>
          </w:p>
        </w:tc>
        <w:tc>
          <w:tcPr>
            <w:tcW w:w="2111"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310"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1625"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仿宋_GB2312" w:hAnsi="宋体" w:eastAsia="仿宋_GB2312" w:cs="宋体"/>
                <w:sz w:val="24"/>
                <w:lang w:val="zh-CN"/>
              </w:rPr>
            </w:pPr>
          </w:p>
        </w:tc>
      </w:tr>
      <w:tr>
        <w:tblPrEx>
          <w:tblCellMar>
            <w:top w:w="0" w:type="dxa"/>
            <w:left w:w="108" w:type="dxa"/>
            <w:bottom w:w="0" w:type="dxa"/>
            <w:right w:w="108" w:type="dxa"/>
          </w:tblCellMar>
        </w:tblPrEx>
        <w:trPr>
          <w:trHeight w:val="425" w:hRule="atLeast"/>
        </w:trPr>
        <w:tc>
          <w:tcPr>
            <w:tcW w:w="3089"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111"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2310"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left"/>
              <w:rPr>
                <w:rFonts w:ascii="仿宋_GB2312" w:hAnsi="宋体" w:eastAsia="仿宋_GB2312" w:cs="宋体"/>
                <w:sz w:val="24"/>
                <w:lang w:val="zh-CN"/>
              </w:rPr>
            </w:pPr>
          </w:p>
        </w:tc>
        <w:tc>
          <w:tcPr>
            <w:tcW w:w="1625"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仿宋_GB2312" w:hAnsi="宋体" w:eastAsia="仿宋_GB2312" w:cs="宋体"/>
                <w:sz w:val="24"/>
                <w:lang w:val="zh-CN"/>
              </w:rPr>
            </w:pPr>
          </w:p>
        </w:tc>
      </w:tr>
      <w:tr>
        <w:tblPrEx>
          <w:tblCellMar>
            <w:top w:w="0" w:type="dxa"/>
            <w:left w:w="108" w:type="dxa"/>
            <w:bottom w:w="0" w:type="dxa"/>
            <w:right w:w="108" w:type="dxa"/>
          </w:tblCellMar>
        </w:tblPrEx>
        <w:trPr>
          <w:trHeight w:val="425" w:hRule="atLeast"/>
        </w:trPr>
        <w:tc>
          <w:tcPr>
            <w:tcW w:w="3089" w:type="dxa"/>
            <w:gridSpan w:val="2"/>
            <w:tcBorders>
              <w:top w:val="single" w:color="auto" w:sz="6" w:space="0"/>
              <w:left w:val="single" w:color="auto" w:sz="12" w:space="0"/>
              <w:bottom w:val="single" w:color="auto" w:sz="12" w:space="0"/>
              <w:right w:val="single" w:color="auto" w:sz="6" w:space="0"/>
            </w:tcBorders>
          </w:tcPr>
          <w:p>
            <w:pPr>
              <w:autoSpaceDE w:val="0"/>
              <w:autoSpaceDN w:val="0"/>
              <w:adjustRightInd w:val="0"/>
              <w:jc w:val="left"/>
              <w:rPr>
                <w:rFonts w:ascii="仿宋_GB2312" w:hAnsi="宋体" w:eastAsia="仿宋_GB2312" w:cs="宋体"/>
                <w:sz w:val="24"/>
                <w:lang w:val="zh-CN"/>
              </w:rPr>
            </w:pPr>
          </w:p>
        </w:tc>
        <w:tc>
          <w:tcPr>
            <w:tcW w:w="2111" w:type="dxa"/>
            <w:gridSpan w:val="3"/>
            <w:tcBorders>
              <w:top w:val="single" w:color="auto" w:sz="6" w:space="0"/>
              <w:left w:val="single" w:color="auto" w:sz="6" w:space="0"/>
              <w:bottom w:val="single" w:color="auto" w:sz="12" w:space="0"/>
              <w:right w:val="single" w:color="auto" w:sz="6" w:space="0"/>
            </w:tcBorders>
          </w:tcPr>
          <w:p>
            <w:pPr>
              <w:autoSpaceDE w:val="0"/>
              <w:autoSpaceDN w:val="0"/>
              <w:adjustRightInd w:val="0"/>
              <w:jc w:val="left"/>
              <w:rPr>
                <w:rFonts w:ascii="仿宋_GB2312" w:hAnsi="宋体" w:eastAsia="仿宋_GB2312" w:cs="宋体"/>
                <w:sz w:val="24"/>
                <w:lang w:val="zh-CN"/>
              </w:rPr>
            </w:pPr>
          </w:p>
        </w:tc>
        <w:tc>
          <w:tcPr>
            <w:tcW w:w="2310" w:type="dxa"/>
            <w:gridSpan w:val="4"/>
            <w:tcBorders>
              <w:top w:val="single" w:color="auto" w:sz="6" w:space="0"/>
              <w:left w:val="single" w:color="auto" w:sz="6" w:space="0"/>
              <w:bottom w:val="single" w:color="auto" w:sz="12" w:space="0"/>
              <w:right w:val="single" w:color="auto" w:sz="6" w:space="0"/>
            </w:tcBorders>
          </w:tcPr>
          <w:p>
            <w:pPr>
              <w:autoSpaceDE w:val="0"/>
              <w:autoSpaceDN w:val="0"/>
              <w:adjustRightInd w:val="0"/>
              <w:jc w:val="left"/>
              <w:rPr>
                <w:rFonts w:ascii="仿宋_GB2312" w:hAnsi="宋体" w:eastAsia="仿宋_GB2312" w:cs="宋体"/>
                <w:sz w:val="24"/>
                <w:lang w:val="zh-CN"/>
              </w:rPr>
            </w:pPr>
          </w:p>
        </w:tc>
        <w:tc>
          <w:tcPr>
            <w:tcW w:w="1625" w:type="dxa"/>
            <w:tcBorders>
              <w:top w:val="single" w:color="auto" w:sz="6" w:space="0"/>
              <w:left w:val="single" w:color="auto" w:sz="6" w:space="0"/>
              <w:bottom w:val="single" w:color="auto" w:sz="12" w:space="0"/>
              <w:right w:val="single" w:color="auto" w:sz="12" w:space="0"/>
            </w:tcBorders>
          </w:tcPr>
          <w:p>
            <w:pPr>
              <w:autoSpaceDE w:val="0"/>
              <w:autoSpaceDN w:val="0"/>
              <w:adjustRightInd w:val="0"/>
              <w:jc w:val="left"/>
              <w:rPr>
                <w:rFonts w:ascii="仿宋_GB2312" w:hAnsi="宋体" w:eastAsia="仿宋_GB2312" w:cs="宋体"/>
                <w:sz w:val="24"/>
                <w:lang w:val="zh-CN"/>
              </w:rPr>
            </w:pPr>
          </w:p>
        </w:tc>
      </w:tr>
      <w:permEnd w:id="97"/>
    </w:tbl>
    <w:p>
      <w:pPr>
        <w:autoSpaceDE w:val="0"/>
        <w:autoSpaceDN w:val="0"/>
        <w:adjustRightInd w:val="0"/>
        <w:ind w:firstLine="210"/>
        <w:jc w:val="left"/>
        <w:rPr>
          <w:rFonts w:ascii="仿宋_GB2312" w:hAnsi="宋体" w:eastAsia="仿宋_GB2312" w:cs="宋体"/>
          <w:sz w:val="24"/>
          <w:lang w:val="zh-CN"/>
        </w:rPr>
      </w:pPr>
      <w:r>
        <w:rPr>
          <w:rFonts w:hint="eastAsia" w:ascii="仿宋_GB2312" w:hAnsi="宋体" w:eastAsia="仿宋_GB2312" w:cs="宋体"/>
          <w:sz w:val="24"/>
          <w:lang w:val="zh-CN"/>
        </w:rPr>
        <w:t>注：表内列举的管理人员、技术人员可随项目类型的不同而变化。</w:t>
      </w:r>
    </w:p>
    <w:p>
      <w:pPr>
        <w:ind w:firstLine="420" w:firstLineChars="200"/>
        <w:rPr>
          <w:rFonts w:ascii="仿宋_GB2312" w:hAnsi="宋体" w:eastAsia="仿宋_GB2312"/>
        </w:rPr>
      </w:pPr>
      <w:r>
        <w:rPr>
          <w:rFonts w:hint="eastAsia" w:ascii="仿宋_GB2312" w:hAnsi="宋体" w:eastAsia="仿宋_GB2312"/>
        </w:rPr>
        <w:t>投标人声明：</w:t>
      </w:r>
      <w:bookmarkStart w:id="612" w:name="注投标人声明"/>
      <w:r>
        <w:rPr>
          <w:rFonts w:hint="eastAsia" w:ascii="仿宋_GB2312" w:hAnsi="宋体" w:eastAsia="仿宋_GB2312"/>
        </w:rPr>
        <w:t>本工程一旦我公司中标，将实行项目经理负责制，并配备上述项目管理班子，上述所报内容真实，若不真实，愿按有关规定接受处理，项目管理班子机构设置、职责分工等情况另附资料说明。</w:t>
      </w:r>
      <w:bookmarkEnd w:id="612"/>
    </w:p>
    <w:p>
      <w:pPr>
        <w:spacing w:beforeLines="100" w:line="400" w:lineRule="exact"/>
        <w:ind w:firstLine="420" w:firstLineChars="200"/>
        <w:rPr>
          <w:rFonts w:ascii="仿宋_GB2312" w:eastAsia="仿宋_GB2312"/>
          <w:szCs w:val="21"/>
        </w:rPr>
      </w:pPr>
    </w:p>
    <w:p>
      <w:pPr>
        <w:pStyle w:val="26"/>
        <w:jc w:val="center"/>
        <w:rPr>
          <w:rFonts w:ascii="仿宋_GB2312" w:eastAsia="仿宋_GB2312"/>
          <w:b/>
          <w:sz w:val="28"/>
          <w:szCs w:val="28"/>
        </w:rPr>
      </w:pPr>
      <w:bookmarkStart w:id="613" w:name="_Toc171581560"/>
      <w:bookmarkStart w:id="614" w:name="_Toc171742003"/>
      <w:bookmarkStart w:id="615" w:name="_Toc171581380"/>
      <w:r>
        <w:rPr>
          <w:rFonts w:hint="eastAsia" w:ascii="仿宋_GB2312" w:eastAsia="仿宋_GB2312"/>
          <w:b/>
          <w:sz w:val="28"/>
          <w:szCs w:val="28"/>
        </w:rPr>
        <w:t>六、拟分包情况表</w:t>
      </w:r>
      <w:bookmarkEnd w:id="613"/>
      <w:bookmarkEnd w:id="614"/>
      <w:bookmarkEnd w:id="615"/>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0"/>
        <w:gridCol w:w="1980"/>
        <w:gridCol w:w="270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2520" w:type="dxa"/>
            <w:vAlign w:val="center"/>
          </w:tcPr>
          <w:p>
            <w:pPr>
              <w:pStyle w:val="28"/>
              <w:spacing w:line="360" w:lineRule="auto"/>
              <w:jc w:val="center"/>
              <w:rPr>
                <w:rFonts w:ascii="仿宋_GB2312" w:eastAsia="仿宋_GB2312"/>
              </w:rPr>
            </w:pPr>
            <w:r>
              <w:rPr>
                <w:rFonts w:hint="eastAsia" w:ascii="仿宋_GB2312" w:hAnsi="宋体" w:eastAsia="仿宋_GB2312"/>
              </w:rPr>
              <w:t>分包的工程项目</w:t>
            </w:r>
          </w:p>
        </w:tc>
        <w:tc>
          <w:tcPr>
            <w:tcW w:w="1980" w:type="dxa"/>
            <w:vAlign w:val="center"/>
          </w:tcPr>
          <w:p>
            <w:pPr>
              <w:pStyle w:val="28"/>
              <w:spacing w:line="360" w:lineRule="auto"/>
              <w:jc w:val="center"/>
              <w:rPr>
                <w:rFonts w:ascii="仿宋_GB2312" w:eastAsia="仿宋_GB2312"/>
              </w:rPr>
            </w:pPr>
            <w:r>
              <w:rPr>
                <w:rFonts w:hint="eastAsia" w:ascii="仿宋_GB2312" w:hAnsi="宋体" w:eastAsia="仿宋_GB2312"/>
              </w:rPr>
              <w:t>分包人名称</w:t>
            </w:r>
          </w:p>
        </w:tc>
        <w:tc>
          <w:tcPr>
            <w:tcW w:w="2700" w:type="dxa"/>
            <w:vAlign w:val="center"/>
          </w:tcPr>
          <w:p>
            <w:pPr>
              <w:pStyle w:val="28"/>
              <w:spacing w:line="360" w:lineRule="auto"/>
              <w:jc w:val="center"/>
              <w:rPr>
                <w:rFonts w:ascii="仿宋_GB2312" w:eastAsia="仿宋_GB2312"/>
              </w:rPr>
            </w:pPr>
            <w:r>
              <w:rPr>
                <w:rFonts w:hint="eastAsia" w:ascii="仿宋_GB2312" w:hAnsi="宋体" w:eastAsia="仿宋_GB2312"/>
              </w:rPr>
              <w:t>分包项目造价（万元）</w:t>
            </w:r>
          </w:p>
        </w:tc>
        <w:tc>
          <w:tcPr>
            <w:tcW w:w="1440" w:type="dxa"/>
            <w:vAlign w:val="center"/>
          </w:tcPr>
          <w:p>
            <w:pPr>
              <w:pStyle w:val="28"/>
              <w:spacing w:line="360" w:lineRule="auto"/>
              <w:jc w:val="center"/>
              <w:rPr>
                <w:rFonts w:ascii="仿宋_GB2312" w:eastAsia="仿宋_GB2312"/>
              </w:rPr>
            </w:pPr>
            <w:r>
              <w:rPr>
                <w:rFonts w:hint="eastAsia" w:ascii="仿宋_GB2312" w:hAnsi="宋体" w:eastAsia="仿宋_GB231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Pr>
          <w:p>
            <w:pPr>
              <w:pStyle w:val="28"/>
              <w:spacing w:line="360" w:lineRule="auto"/>
              <w:jc w:val="center"/>
              <w:rPr>
                <w:rFonts w:ascii="仿宋_GB2312" w:eastAsia="仿宋_GB2312"/>
                <w:sz w:val="32"/>
              </w:rPr>
            </w:pPr>
          </w:p>
        </w:tc>
        <w:tc>
          <w:tcPr>
            <w:tcW w:w="1980" w:type="dxa"/>
          </w:tcPr>
          <w:p>
            <w:pPr>
              <w:pStyle w:val="28"/>
              <w:spacing w:line="360" w:lineRule="auto"/>
              <w:jc w:val="center"/>
              <w:rPr>
                <w:rFonts w:ascii="仿宋_GB2312" w:eastAsia="仿宋_GB2312"/>
                <w:sz w:val="32"/>
              </w:rPr>
            </w:pPr>
          </w:p>
        </w:tc>
        <w:tc>
          <w:tcPr>
            <w:tcW w:w="2700" w:type="dxa"/>
          </w:tcPr>
          <w:p>
            <w:pPr>
              <w:pStyle w:val="28"/>
              <w:spacing w:line="360" w:lineRule="auto"/>
              <w:jc w:val="center"/>
              <w:rPr>
                <w:rFonts w:ascii="仿宋_GB2312" w:eastAsia="仿宋_GB2312"/>
                <w:sz w:val="32"/>
              </w:rPr>
            </w:pPr>
          </w:p>
        </w:tc>
        <w:tc>
          <w:tcPr>
            <w:tcW w:w="1440" w:type="dxa"/>
          </w:tcPr>
          <w:p>
            <w:pPr>
              <w:pStyle w:val="28"/>
              <w:spacing w:line="360" w:lineRule="auto"/>
              <w:jc w:val="center"/>
              <w:rPr>
                <w:rFonts w:ascii="仿宋_GB2312" w:eastAsia="仿宋_GB2312"/>
                <w:sz w:val="32"/>
              </w:rPr>
            </w:pPr>
          </w:p>
        </w:tc>
      </w:tr>
    </w:tbl>
    <w:p>
      <w:pPr>
        <w:pStyle w:val="28"/>
        <w:spacing w:line="480" w:lineRule="auto"/>
        <w:ind w:firstLine="2250" w:firstLineChars="750"/>
        <w:rPr>
          <w:rFonts w:ascii="仿宋_GB2312" w:eastAsia="仿宋_GB2312"/>
          <w:sz w:val="30"/>
        </w:rPr>
        <w:sectPr>
          <w:pgSz w:w="11907" w:h="16840"/>
          <w:pgMar w:top="1298" w:right="1077" w:bottom="1060" w:left="1077" w:header="851" w:footer="737" w:gutter="0"/>
          <w:cols w:space="720" w:num="1"/>
          <w:docGrid w:type="lines" w:linePitch="476" w:charSpace="0"/>
        </w:sectPr>
      </w:pPr>
      <w:bookmarkStart w:id="616" w:name="bt中标通知书"/>
      <w:bookmarkEnd w:id="616"/>
    </w:p>
    <w:p>
      <w:pPr>
        <w:pStyle w:val="28"/>
        <w:spacing w:line="480" w:lineRule="auto"/>
        <w:jc w:val="center"/>
        <w:rPr>
          <w:rFonts w:ascii="仿宋_GB2312" w:eastAsia="仿宋_GB2312"/>
          <w:sz w:val="30"/>
        </w:rPr>
      </w:pPr>
      <w:r>
        <w:rPr>
          <w:rFonts w:hint="eastAsia" w:ascii="仿宋_GB2312" w:eastAsia="仿宋_GB2312"/>
          <w:sz w:val="30"/>
        </w:rPr>
        <w:t>七、</w:t>
      </w:r>
      <w:r>
        <w:rPr>
          <w:rFonts w:hint="eastAsia" w:ascii="仿宋_GB2312" w:hAnsi="宋体" w:eastAsia="仿宋_GB2312"/>
          <w:sz w:val="30"/>
        </w:rPr>
        <w:t>劳动力安排计划表</w:t>
      </w:r>
    </w:p>
    <w:p>
      <w:pPr>
        <w:pStyle w:val="28"/>
        <w:ind w:firstLine="7320"/>
        <w:rPr>
          <w:rFonts w:ascii="仿宋_GB2312" w:eastAsia="仿宋_GB2312"/>
        </w:rPr>
      </w:pPr>
      <w:r>
        <w:rPr>
          <w:rFonts w:hint="eastAsia" w:ascii="仿宋_GB2312" w:hAnsi="宋体" w:eastAsia="仿宋_GB2312"/>
        </w:rPr>
        <w:t>单位：人</w:t>
      </w:r>
    </w:p>
    <w:tbl>
      <w:tblPr>
        <w:tblStyle w:val="49"/>
        <w:tblW w:w="0" w:type="auto"/>
        <w:tblInd w:w="5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064"/>
        <w:gridCol w:w="1065"/>
        <w:gridCol w:w="1065"/>
        <w:gridCol w:w="1065"/>
        <w:gridCol w:w="1065"/>
        <w:gridCol w:w="1065"/>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68" w:type="dxa"/>
            <w:vMerge w:val="restart"/>
            <w:vAlign w:val="center"/>
          </w:tcPr>
          <w:p>
            <w:pPr>
              <w:pStyle w:val="28"/>
              <w:spacing w:line="360" w:lineRule="auto"/>
              <w:jc w:val="center"/>
              <w:rPr>
                <w:rFonts w:ascii="仿宋_GB2312" w:eastAsia="仿宋_GB2312"/>
              </w:rPr>
            </w:pPr>
            <w:r>
              <w:rPr>
                <w:rFonts w:hint="eastAsia" w:ascii="仿宋_GB2312" w:hAnsi="宋体" w:eastAsia="仿宋_GB2312"/>
              </w:rPr>
              <w:t>工种</w:t>
            </w:r>
          </w:p>
          <w:p>
            <w:pPr>
              <w:pStyle w:val="28"/>
              <w:spacing w:line="360" w:lineRule="auto"/>
              <w:jc w:val="center"/>
              <w:rPr>
                <w:rFonts w:ascii="仿宋_GB2312" w:eastAsia="仿宋_GB2312"/>
              </w:rPr>
            </w:pPr>
            <w:r>
              <w:rPr>
                <w:rFonts w:hint="eastAsia" w:ascii="仿宋_GB2312" w:hAnsi="宋体" w:eastAsia="仿宋_GB2312"/>
              </w:rPr>
              <w:t>级别</w:t>
            </w:r>
          </w:p>
        </w:tc>
        <w:tc>
          <w:tcPr>
            <w:tcW w:w="7454" w:type="dxa"/>
            <w:gridSpan w:val="7"/>
            <w:vAlign w:val="center"/>
          </w:tcPr>
          <w:p>
            <w:pPr>
              <w:pStyle w:val="28"/>
              <w:spacing w:line="360" w:lineRule="auto"/>
              <w:jc w:val="center"/>
              <w:rPr>
                <w:rFonts w:ascii="仿宋_GB2312" w:eastAsia="仿宋_GB2312"/>
              </w:rPr>
            </w:pPr>
            <w:r>
              <w:rPr>
                <w:rFonts w:hint="eastAsia" w:ascii="仿宋_GB2312" w:hAnsi="宋体" w:eastAsia="仿宋_GB2312"/>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68" w:type="dxa"/>
            <w:vMerge w:val="continue"/>
            <w:vAlign w:val="center"/>
          </w:tcPr>
          <w:p>
            <w:pPr>
              <w:pStyle w:val="28"/>
              <w:spacing w:line="360" w:lineRule="auto"/>
              <w:jc w:val="center"/>
              <w:rPr>
                <w:rFonts w:ascii="仿宋_GB2312" w:eastAsia="仿宋_GB2312"/>
              </w:rPr>
            </w:pPr>
          </w:p>
        </w:tc>
        <w:tc>
          <w:tcPr>
            <w:tcW w:w="1064" w:type="dxa"/>
            <w:vAlign w:val="center"/>
          </w:tcPr>
          <w:p>
            <w:pPr>
              <w:pStyle w:val="28"/>
              <w:spacing w:line="360" w:lineRule="auto"/>
              <w:jc w:val="center"/>
              <w:rPr>
                <w:rFonts w:ascii="仿宋_GB2312" w:eastAsia="仿宋_GB2312"/>
              </w:rPr>
            </w:pPr>
          </w:p>
        </w:tc>
        <w:tc>
          <w:tcPr>
            <w:tcW w:w="1065" w:type="dxa"/>
            <w:vAlign w:val="center"/>
          </w:tcPr>
          <w:p>
            <w:pPr>
              <w:pStyle w:val="28"/>
              <w:spacing w:line="360" w:lineRule="auto"/>
              <w:jc w:val="center"/>
              <w:rPr>
                <w:rFonts w:ascii="仿宋_GB2312" w:eastAsia="仿宋_GB2312"/>
              </w:rPr>
            </w:pPr>
          </w:p>
        </w:tc>
        <w:tc>
          <w:tcPr>
            <w:tcW w:w="1065" w:type="dxa"/>
            <w:vAlign w:val="center"/>
          </w:tcPr>
          <w:p>
            <w:pPr>
              <w:pStyle w:val="28"/>
              <w:spacing w:line="360" w:lineRule="auto"/>
              <w:jc w:val="center"/>
              <w:rPr>
                <w:rFonts w:ascii="仿宋_GB2312" w:eastAsia="仿宋_GB2312"/>
              </w:rPr>
            </w:pPr>
          </w:p>
        </w:tc>
        <w:tc>
          <w:tcPr>
            <w:tcW w:w="1065" w:type="dxa"/>
            <w:vAlign w:val="center"/>
          </w:tcPr>
          <w:p>
            <w:pPr>
              <w:pStyle w:val="28"/>
              <w:spacing w:line="360" w:lineRule="auto"/>
              <w:jc w:val="center"/>
              <w:rPr>
                <w:rFonts w:ascii="仿宋_GB2312" w:eastAsia="仿宋_GB2312"/>
              </w:rPr>
            </w:pPr>
          </w:p>
        </w:tc>
        <w:tc>
          <w:tcPr>
            <w:tcW w:w="1065" w:type="dxa"/>
            <w:vAlign w:val="center"/>
          </w:tcPr>
          <w:p>
            <w:pPr>
              <w:pStyle w:val="28"/>
              <w:spacing w:line="360" w:lineRule="auto"/>
              <w:jc w:val="center"/>
              <w:rPr>
                <w:rFonts w:ascii="仿宋_GB2312" w:eastAsia="仿宋_GB2312"/>
              </w:rPr>
            </w:pPr>
          </w:p>
        </w:tc>
        <w:tc>
          <w:tcPr>
            <w:tcW w:w="1065" w:type="dxa"/>
            <w:vAlign w:val="center"/>
          </w:tcPr>
          <w:p>
            <w:pPr>
              <w:pStyle w:val="28"/>
              <w:spacing w:line="360" w:lineRule="auto"/>
              <w:jc w:val="center"/>
              <w:rPr>
                <w:rFonts w:ascii="仿宋_GB2312" w:eastAsia="仿宋_GB2312"/>
              </w:rPr>
            </w:pPr>
          </w:p>
        </w:tc>
        <w:tc>
          <w:tcPr>
            <w:tcW w:w="1065" w:type="dxa"/>
            <w:vAlign w:val="center"/>
          </w:tcPr>
          <w:p>
            <w:pPr>
              <w:pStyle w:val="28"/>
              <w:spacing w:line="360" w:lineRule="auto"/>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8" w:type="dxa"/>
          </w:tcPr>
          <w:p>
            <w:pPr>
              <w:pStyle w:val="28"/>
              <w:spacing w:line="360" w:lineRule="auto"/>
              <w:rPr>
                <w:rFonts w:ascii="仿宋_GB2312" w:eastAsia="仿宋_GB2312"/>
                <w:sz w:val="28"/>
              </w:rPr>
            </w:pPr>
          </w:p>
        </w:tc>
        <w:tc>
          <w:tcPr>
            <w:tcW w:w="1064"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c>
          <w:tcPr>
            <w:tcW w:w="1065" w:type="dxa"/>
          </w:tcPr>
          <w:p>
            <w:pPr>
              <w:pStyle w:val="28"/>
              <w:spacing w:line="360" w:lineRule="auto"/>
              <w:rPr>
                <w:rFonts w:ascii="仿宋_GB2312" w:eastAsia="仿宋_GB2312"/>
                <w:sz w:val="28"/>
              </w:rPr>
            </w:pPr>
          </w:p>
        </w:tc>
      </w:tr>
    </w:tbl>
    <w:p>
      <w:pPr>
        <w:pStyle w:val="28"/>
        <w:rPr>
          <w:rFonts w:ascii="仿宋_GB2312" w:eastAsia="仿宋_GB2312"/>
        </w:rPr>
      </w:pPr>
      <w:bookmarkStart w:id="617" w:name="注劳动力安排计划表"/>
      <w:r>
        <w:rPr>
          <w:rFonts w:hint="eastAsia" w:ascii="仿宋_GB2312" w:hAnsi="宋体" w:eastAsia="仿宋_GB2312"/>
        </w:rPr>
        <w:t>注：投标人应接所列格式提交包括分包人在内的估计的劳动力计划表；</w:t>
      </w:r>
    </w:p>
    <w:p>
      <w:pPr>
        <w:pStyle w:val="28"/>
        <w:ind w:firstLine="480"/>
        <w:rPr>
          <w:rFonts w:ascii="仿宋_GB2312" w:eastAsia="仿宋_GB2312"/>
        </w:rPr>
      </w:pPr>
      <w:r>
        <w:rPr>
          <w:rFonts w:hint="eastAsia" w:ascii="仿宋_GB2312" w:hAnsi="宋体" w:eastAsia="仿宋_GB2312"/>
        </w:rPr>
        <w:t>本计划表是以每班八小时工作制为基础的。</w:t>
      </w:r>
      <w:bookmarkEnd w:id="617"/>
    </w:p>
    <w:p>
      <w:pPr>
        <w:pStyle w:val="28"/>
        <w:spacing w:line="480" w:lineRule="auto"/>
        <w:ind w:firstLine="750" w:firstLineChars="250"/>
        <w:jc w:val="center"/>
        <w:rPr>
          <w:rFonts w:ascii="仿宋_GB2312" w:eastAsia="仿宋_GB2312"/>
          <w:sz w:val="30"/>
        </w:rPr>
      </w:pPr>
      <w:r>
        <w:rPr>
          <w:rFonts w:hint="eastAsia" w:ascii="仿宋_GB2312" w:eastAsia="仿宋_GB2312"/>
          <w:sz w:val="30"/>
        </w:rPr>
        <w:t>八、拟派往本招标工程项目的负责人与主要技术人员简历</w:t>
      </w:r>
    </w:p>
    <w:p>
      <w:pPr>
        <w:pStyle w:val="26"/>
        <w:jc w:val="center"/>
        <w:rPr>
          <w:rFonts w:ascii="仿宋_GB2312" w:eastAsia="仿宋_GB2312"/>
          <w:b/>
          <w:sz w:val="28"/>
          <w:szCs w:val="28"/>
        </w:rPr>
      </w:pPr>
    </w:p>
    <w:tbl>
      <w:tblPr>
        <w:tblStyle w:val="49"/>
        <w:tblW w:w="9440" w:type="dxa"/>
        <w:tblInd w:w="128" w:type="dxa"/>
        <w:tblLayout w:type="fixed"/>
        <w:tblCellMar>
          <w:top w:w="0" w:type="dxa"/>
          <w:left w:w="28" w:type="dxa"/>
          <w:bottom w:w="0" w:type="dxa"/>
          <w:right w:w="28" w:type="dxa"/>
        </w:tblCellMar>
      </w:tblPr>
      <w:tblGrid>
        <w:gridCol w:w="1300"/>
        <w:gridCol w:w="910"/>
        <w:gridCol w:w="330"/>
        <w:gridCol w:w="2610"/>
        <w:gridCol w:w="1155"/>
        <w:gridCol w:w="3135"/>
      </w:tblGrid>
      <w:tr>
        <w:tblPrEx>
          <w:tblCellMar>
            <w:top w:w="0" w:type="dxa"/>
            <w:left w:w="28" w:type="dxa"/>
            <w:bottom w:w="0" w:type="dxa"/>
            <w:right w:w="28" w:type="dxa"/>
          </w:tblCellMar>
        </w:tblPrEx>
        <w:trPr>
          <w:trHeight w:val="870" w:hRule="atLeast"/>
        </w:trPr>
        <w:tc>
          <w:tcPr>
            <w:tcW w:w="2210" w:type="dxa"/>
            <w:gridSpan w:val="2"/>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拟任职位</w:t>
            </w:r>
          </w:p>
        </w:tc>
        <w:tc>
          <w:tcPr>
            <w:tcW w:w="7230" w:type="dxa"/>
            <w:gridSpan w:val="4"/>
            <w:tcBorders>
              <w:top w:val="single" w:color="auto" w:sz="12" w:space="0"/>
              <w:left w:val="single" w:color="auto" w:sz="4" w:space="0"/>
              <w:bottom w:val="single" w:color="auto" w:sz="6" w:space="0"/>
              <w:right w:val="single" w:color="auto" w:sz="12" w:space="0"/>
            </w:tcBorders>
            <w:vAlign w:val="center"/>
          </w:tcPr>
          <w:p>
            <w:pPr>
              <w:autoSpaceDE w:val="0"/>
              <w:autoSpaceDN w:val="0"/>
              <w:adjustRightInd w:val="0"/>
              <w:spacing w:line="360" w:lineRule="auto"/>
              <w:ind w:left="652"/>
              <w:jc w:val="left"/>
              <w:rPr>
                <w:rFonts w:ascii="仿宋_GB2312" w:hAnsi="宋体" w:eastAsia="仿宋_GB2312" w:cs="宋体"/>
                <w:sz w:val="24"/>
                <w:lang w:val="zh-CN"/>
              </w:rPr>
            </w:pPr>
          </w:p>
        </w:tc>
      </w:tr>
      <w:tr>
        <w:tblPrEx>
          <w:tblCellMar>
            <w:top w:w="0" w:type="dxa"/>
            <w:left w:w="28" w:type="dxa"/>
            <w:bottom w:w="0" w:type="dxa"/>
            <w:right w:w="28" w:type="dxa"/>
          </w:tblCellMar>
        </w:tblPrEx>
        <w:trPr>
          <w:trHeight w:val="870" w:hRule="atLeast"/>
        </w:trPr>
        <w:tc>
          <w:tcPr>
            <w:tcW w:w="2210" w:type="dxa"/>
            <w:gridSpan w:val="2"/>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姓名</w:t>
            </w:r>
          </w:p>
        </w:tc>
        <w:tc>
          <w:tcPr>
            <w:tcW w:w="294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sz w:val="24"/>
                <w:lang w:val="zh-CN"/>
              </w:rPr>
            </w:pPr>
          </w:p>
        </w:tc>
        <w:tc>
          <w:tcPr>
            <w:tcW w:w="1155"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出生年月</w:t>
            </w:r>
          </w:p>
        </w:tc>
        <w:tc>
          <w:tcPr>
            <w:tcW w:w="3135" w:type="dxa"/>
            <w:tcBorders>
              <w:top w:val="single" w:color="auto" w:sz="6" w:space="0"/>
              <w:left w:val="single" w:color="auto" w:sz="4" w:space="0"/>
              <w:bottom w:val="single" w:color="auto" w:sz="6" w:space="0"/>
              <w:right w:val="single" w:color="auto" w:sz="12" w:space="0"/>
            </w:tcBorders>
            <w:vAlign w:val="center"/>
          </w:tcPr>
          <w:p>
            <w:pPr>
              <w:autoSpaceDE w:val="0"/>
              <w:autoSpaceDN w:val="0"/>
              <w:adjustRightInd w:val="0"/>
              <w:spacing w:line="360" w:lineRule="auto"/>
              <w:ind w:left="151" w:leftChars="72" w:firstLine="480" w:firstLineChars="200"/>
              <w:jc w:val="left"/>
              <w:rPr>
                <w:rFonts w:ascii="仿宋_GB2312" w:hAnsi="宋体" w:eastAsia="仿宋_GB2312" w:cs="宋体"/>
                <w:sz w:val="24"/>
                <w:lang w:val="zh-CN"/>
              </w:rPr>
            </w:pPr>
          </w:p>
        </w:tc>
      </w:tr>
      <w:tr>
        <w:tblPrEx>
          <w:tblCellMar>
            <w:top w:w="0" w:type="dxa"/>
            <w:left w:w="28" w:type="dxa"/>
            <w:bottom w:w="0" w:type="dxa"/>
            <w:right w:w="28" w:type="dxa"/>
          </w:tblCellMar>
        </w:tblPrEx>
        <w:trPr>
          <w:trHeight w:val="870" w:hRule="atLeast"/>
        </w:trPr>
        <w:tc>
          <w:tcPr>
            <w:tcW w:w="2210" w:type="dxa"/>
            <w:gridSpan w:val="2"/>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执业或职业资格</w:t>
            </w:r>
          </w:p>
        </w:tc>
        <w:tc>
          <w:tcPr>
            <w:tcW w:w="7230" w:type="dxa"/>
            <w:gridSpan w:val="4"/>
            <w:tcBorders>
              <w:top w:val="single" w:color="auto" w:sz="6" w:space="0"/>
              <w:left w:val="single" w:color="auto" w:sz="4" w:space="0"/>
              <w:bottom w:val="single" w:color="auto" w:sz="6" w:space="0"/>
              <w:right w:val="single" w:color="auto" w:sz="12" w:space="0"/>
            </w:tcBorders>
            <w:vAlign w:val="center"/>
          </w:tcPr>
          <w:p>
            <w:pPr>
              <w:autoSpaceDE w:val="0"/>
              <w:autoSpaceDN w:val="0"/>
              <w:adjustRightInd w:val="0"/>
              <w:spacing w:line="360" w:lineRule="auto"/>
              <w:jc w:val="center"/>
              <w:rPr>
                <w:rFonts w:ascii="仿宋_GB2312" w:hAnsi="宋体" w:eastAsia="仿宋_GB2312" w:cs="宋体"/>
                <w:sz w:val="24"/>
                <w:lang w:val="zh-CN"/>
              </w:rPr>
            </w:pPr>
          </w:p>
        </w:tc>
      </w:tr>
      <w:tr>
        <w:tblPrEx>
          <w:tblCellMar>
            <w:top w:w="0" w:type="dxa"/>
            <w:left w:w="28" w:type="dxa"/>
            <w:bottom w:w="0" w:type="dxa"/>
            <w:right w:w="28" w:type="dxa"/>
          </w:tblCellMar>
        </w:tblPrEx>
        <w:trPr>
          <w:trHeight w:val="870" w:hRule="atLeast"/>
        </w:trPr>
        <w:tc>
          <w:tcPr>
            <w:tcW w:w="2210" w:type="dxa"/>
            <w:gridSpan w:val="2"/>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学  历</w:t>
            </w:r>
          </w:p>
        </w:tc>
        <w:tc>
          <w:tcPr>
            <w:tcW w:w="294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sz w:val="24"/>
                <w:lang w:val="zh-CN"/>
              </w:rPr>
            </w:pPr>
          </w:p>
        </w:tc>
        <w:tc>
          <w:tcPr>
            <w:tcW w:w="1155"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职  称</w:t>
            </w:r>
          </w:p>
        </w:tc>
        <w:tc>
          <w:tcPr>
            <w:tcW w:w="3135" w:type="dxa"/>
            <w:tcBorders>
              <w:top w:val="single" w:color="auto" w:sz="6" w:space="0"/>
              <w:left w:val="single" w:color="auto" w:sz="4" w:space="0"/>
              <w:bottom w:val="single" w:color="auto" w:sz="6" w:space="0"/>
              <w:right w:val="single" w:color="auto" w:sz="12" w:space="0"/>
            </w:tcBorders>
            <w:vAlign w:val="center"/>
          </w:tcPr>
          <w:p>
            <w:pPr>
              <w:autoSpaceDE w:val="0"/>
              <w:autoSpaceDN w:val="0"/>
              <w:adjustRightInd w:val="0"/>
              <w:spacing w:line="360" w:lineRule="auto"/>
              <w:jc w:val="left"/>
              <w:rPr>
                <w:rFonts w:ascii="仿宋_GB2312" w:hAnsi="宋体" w:eastAsia="仿宋_GB2312" w:cs="宋体"/>
                <w:sz w:val="24"/>
                <w:lang w:val="zh-CN"/>
              </w:rPr>
            </w:pPr>
          </w:p>
        </w:tc>
      </w:tr>
      <w:tr>
        <w:tblPrEx>
          <w:tblCellMar>
            <w:top w:w="0" w:type="dxa"/>
            <w:left w:w="28" w:type="dxa"/>
            <w:bottom w:w="0" w:type="dxa"/>
            <w:right w:w="28" w:type="dxa"/>
          </w:tblCellMar>
        </w:tblPrEx>
        <w:trPr>
          <w:trHeight w:val="870" w:hRule="atLeast"/>
        </w:trPr>
        <w:tc>
          <w:tcPr>
            <w:tcW w:w="2210" w:type="dxa"/>
            <w:gridSpan w:val="2"/>
            <w:tcBorders>
              <w:top w:val="single" w:color="auto" w:sz="4" w:space="0"/>
              <w:left w:val="single" w:color="auto" w:sz="12" w:space="0"/>
              <w:bottom w:val="nil"/>
              <w:right w:val="single" w:color="auto" w:sz="4"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职  务</w:t>
            </w:r>
          </w:p>
        </w:tc>
        <w:tc>
          <w:tcPr>
            <w:tcW w:w="294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sz w:val="24"/>
                <w:lang w:val="zh-CN"/>
              </w:rPr>
            </w:pPr>
          </w:p>
        </w:tc>
        <w:tc>
          <w:tcPr>
            <w:tcW w:w="1155"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工作年限</w:t>
            </w:r>
          </w:p>
        </w:tc>
        <w:tc>
          <w:tcPr>
            <w:tcW w:w="3135" w:type="dxa"/>
            <w:tcBorders>
              <w:top w:val="single" w:color="auto" w:sz="6" w:space="0"/>
              <w:left w:val="single" w:color="auto" w:sz="4" w:space="0"/>
              <w:bottom w:val="single" w:color="auto" w:sz="6" w:space="0"/>
              <w:right w:val="single" w:color="auto" w:sz="12" w:space="0"/>
            </w:tcBorders>
            <w:vAlign w:val="center"/>
          </w:tcPr>
          <w:p>
            <w:pPr>
              <w:autoSpaceDE w:val="0"/>
              <w:autoSpaceDN w:val="0"/>
              <w:adjustRightInd w:val="0"/>
              <w:spacing w:line="360" w:lineRule="auto"/>
              <w:jc w:val="left"/>
              <w:rPr>
                <w:rFonts w:ascii="仿宋_GB2312" w:hAnsi="宋体" w:eastAsia="仿宋_GB2312" w:cs="宋体"/>
                <w:sz w:val="24"/>
                <w:lang w:val="zh-CN"/>
              </w:rPr>
            </w:pPr>
          </w:p>
        </w:tc>
      </w:tr>
      <w:tr>
        <w:tblPrEx>
          <w:tblCellMar>
            <w:top w:w="0" w:type="dxa"/>
            <w:left w:w="28" w:type="dxa"/>
            <w:bottom w:w="0" w:type="dxa"/>
            <w:right w:w="28" w:type="dxa"/>
          </w:tblCellMar>
        </w:tblPrEx>
        <w:trPr>
          <w:trHeight w:val="870" w:hRule="atLeast"/>
        </w:trPr>
        <w:tc>
          <w:tcPr>
            <w:tcW w:w="1300"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bCs/>
                <w:sz w:val="24"/>
                <w:lang w:val="zh-CN"/>
              </w:rPr>
            </w:pPr>
            <w:r>
              <w:rPr>
                <w:rFonts w:hint="eastAsia" w:ascii="仿宋_GB2312" w:hAnsi="宋体" w:eastAsia="仿宋_GB2312" w:cs="宋体"/>
                <w:bCs/>
                <w:sz w:val="24"/>
                <w:lang w:val="zh-CN"/>
              </w:rPr>
              <w:t>自</w:t>
            </w:r>
          </w:p>
        </w:tc>
        <w:tc>
          <w:tcPr>
            <w:tcW w:w="1240"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bCs/>
                <w:sz w:val="24"/>
                <w:lang w:val="zh-CN"/>
              </w:rPr>
            </w:pPr>
            <w:r>
              <w:rPr>
                <w:rFonts w:hint="eastAsia" w:ascii="仿宋_GB2312" w:hAnsi="宋体" w:eastAsia="仿宋_GB2312" w:cs="宋体"/>
                <w:bCs/>
                <w:sz w:val="24"/>
                <w:lang w:val="zh-CN"/>
              </w:rPr>
              <w:t>至</w:t>
            </w:r>
          </w:p>
        </w:tc>
        <w:tc>
          <w:tcPr>
            <w:tcW w:w="6900"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line="360" w:lineRule="auto"/>
              <w:jc w:val="center"/>
              <w:rPr>
                <w:rFonts w:ascii="仿宋_GB2312" w:hAnsi="宋体" w:eastAsia="仿宋_GB2312" w:cs="宋体"/>
                <w:bCs/>
                <w:sz w:val="24"/>
                <w:lang w:val="zh-CN"/>
              </w:rPr>
            </w:pPr>
            <w:r>
              <w:rPr>
                <w:rFonts w:hint="eastAsia" w:ascii="仿宋_GB2312" w:hAnsi="宋体" w:eastAsia="仿宋_GB2312"/>
                <w:sz w:val="24"/>
              </w:rPr>
              <w:t>主要经验及承担的项目</w:t>
            </w:r>
          </w:p>
        </w:tc>
      </w:tr>
      <w:tr>
        <w:tblPrEx>
          <w:tblCellMar>
            <w:top w:w="0" w:type="dxa"/>
            <w:left w:w="28" w:type="dxa"/>
            <w:bottom w:w="0" w:type="dxa"/>
            <w:right w:w="28" w:type="dxa"/>
          </w:tblCellMar>
        </w:tblPrEx>
        <w:trPr>
          <w:trHeight w:val="870" w:hRule="atLeast"/>
        </w:trPr>
        <w:tc>
          <w:tcPr>
            <w:tcW w:w="1300"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年  月</w:t>
            </w:r>
          </w:p>
        </w:tc>
        <w:tc>
          <w:tcPr>
            <w:tcW w:w="1240"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ind w:firstLine="240" w:firstLineChars="100"/>
              <w:rPr>
                <w:rFonts w:ascii="仿宋_GB2312" w:hAnsi="宋体" w:eastAsia="仿宋_GB2312" w:cs="宋体"/>
                <w:sz w:val="24"/>
                <w:lang w:val="zh-CN"/>
              </w:rPr>
            </w:pPr>
            <w:r>
              <w:rPr>
                <w:rFonts w:hint="eastAsia" w:ascii="仿宋_GB2312" w:hAnsi="宋体" w:eastAsia="仿宋_GB2312" w:cs="宋体"/>
                <w:sz w:val="24"/>
                <w:lang w:val="zh-CN"/>
              </w:rPr>
              <w:t>年  月</w:t>
            </w:r>
          </w:p>
        </w:tc>
        <w:tc>
          <w:tcPr>
            <w:tcW w:w="6900"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line="360" w:lineRule="auto"/>
              <w:jc w:val="center"/>
              <w:rPr>
                <w:rFonts w:ascii="仿宋_GB2312" w:hAnsi="宋体" w:eastAsia="仿宋_GB2312" w:cs="宋体"/>
                <w:sz w:val="24"/>
                <w:lang w:val="zh-CN"/>
              </w:rPr>
            </w:pPr>
          </w:p>
        </w:tc>
      </w:tr>
      <w:tr>
        <w:tblPrEx>
          <w:tblCellMar>
            <w:top w:w="0" w:type="dxa"/>
            <w:left w:w="28" w:type="dxa"/>
            <w:bottom w:w="0" w:type="dxa"/>
            <w:right w:w="28" w:type="dxa"/>
          </w:tblCellMar>
        </w:tblPrEx>
        <w:trPr>
          <w:trHeight w:val="870" w:hRule="atLeast"/>
        </w:trPr>
        <w:tc>
          <w:tcPr>
            <w:tcW w:w="1300"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年  月</w:t>
            </w:r>
          </w:p>
        </w:tc>
        <w:tc>
          <w:tcPr>
            <w:tcW w:w="1240"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年  月</w:t>
            </w:r>
          </w:p>
        </w:tc>
        <w:tc>
          <w:tcPr>
            <w:tcW w:w="6900"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line="360" w:lineRule="auto"/>
              <w:jc w:val="center"/>
              <w:rPr>
                <w:rFonts w:ascii="仿宋_GB2312" w:hAnsi="宋体" w:eastAsia="仿宋_GB2312" w:cs="宋体"/>
                <w:sz w:val="24"/>
                <w:lang w:val="zh-CN"/>
              </w:rPr>
            </w:pPr>
          </w:p>
        </w:tc>
      </w:tr>
      <w:tr>
        <w:tblPrEx>
          <w:tblCellMar>
            <w:top w:w="0" w:type="dxa"/>
            <w:left w:w="28" w:type="dxa"/>
            <w:bottom w:w="0" w:type="dxa"/>
            <w:right w:w="28" w:type="dxa"/>
          </w:tblCellMar>
        </w:tblPrEx>
        <w:trPr>
          <w:trHeight w:val="870" w:hRule="atLeast"/>
        </w:trPr>
        <w:tc>
          <w:tcPr>
            <w:tcW w:w="1300"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年  月</w:t>
            </w:r>
          </w:p>
        </w:tc>
        <w:tc>
          <w:tcPr>
            <w:tcW w:w="1240"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年  月</w:t>
            </w:r>
          </w:p>
        </w:tc>
        <w:tc>
          <w:tcPr>
            <w:tcW w:w="6900"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line="360" w:lineRule="auto"/>
              <w:jc w:val="center"/>
              <w:rPr>
                <w:rFonts w:ascii="仿宋_GB2312" w:hAnsi="宋体" w:eastAsia="仿宋_GB2312" w:cs="宋体"/>
                <w:sz w:val="24"/>
                <w:lang w:val="zh-CN"/>
              </w:rPr>
            </w:pPr>
          </w:p>
        </w:tc>
      </w:tr>
      <w:tr>
        <w:tblPrEx>
          <w:tblCellMar>
            <w:top w:w="0" w:type="dxa"/>
            <w:left w:w="28" w:type="dxa"/>
            <w:bottom w:w="0" w:type="dxa"/>
            <w:right w:w="28" w:type="dxa"/>
          </w:tblCellMar>
        </w:tblPrEx>
        <w:trPr>
          <w:trHeight w:val="870" w:hRule="atLeast"/>
        </w:trPr>
        <w:tc>
          <w:tcPr>
            <w:tcW w:w="1300"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年  月</w:t>
            </w:r>
          </w:p>
        </w:tc>
        <w:tc>
          <w:tcPr>
            <w:tcW w:w="1240"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年  月</w:t>
            </w:r>
          </w:p>
        </w:tc>
        <w:tc>
          <w:tcPr>
            <w:tcW w:w="6900"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line="360" w:lineRule="auto"/>
              <w:jc w:val="center"/>
              <w:rPr>
                <w:rFonts w:ascii="仿宋_GB2312" w:hAnsi="宋体" w:eastAsia="仿宋_GB2312" w:cs="宋体"/>
                <w:sz w:val="24"/>
                <w:lang w:val="zh-CN"/>
              </w:rPr>
            </w:pPr>
          </w:p>
        </w:tc>
      </w:tr>
      <w:tr>
        <w:tblPrEx>
          <w:tblCellMar>
            <w:top w:w="0" w:type="dxa"/>
            <w:left w:w="28" w:type="dxa"/>
            <w:bottom w:w="0" w:type="dxa"/>
            <w:right w:w="28" w:type="dxa"/>
          </w:tblCellMar>
        </w:tblPrEx>
        <w:trPr>
          <w:trHeight w:val="870" w:hRule="atLeast"/>
        </w:trPr>
        <w:tc>
          <w:tcPr>
            <w:tcW w:w="1300"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年  月</w:t>
            </w:r>
          </w:p>
        </w:tc>
        <w:tc>
          <w:tcPr>
            <w:tcW w:w="1240" w:type="dxa"/>
            <w:gridSpan w:val="2"/>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line="360" w:lineRule="auto"/>
              <w:jc w:val="center"/>
              <w:rPr>
                <w:rFonts w:ascii="仿宋_GB2312" w:hAnsi="宋体" w:eastAsia="仿宋_GB2312" w:cs="宋体"/>
                <w:sz w:val="24"/>
                <w:lang w:val="zh-CN"/>
              </w:rPr>
            </w:pPr>
            <w:r>
              <w:rPr>
                <w:rFonts w:hint="eastAsia" w:ascii="仿宋_GB2312" w:hAnsi="宋体" w:eastAsia="仿宋_GB2312" w:cs="宋体"/>
                <w:sz w:val="24"/>
                <w:lang w:val="zh-CN"/>
              </w:rPr>
              <w:t>年  月</w:t>
            </w:r>
          </w:p>
        </w:tc>
        <w:tc>
          <w:tcPr>
            <w:tcW w:w="6900" w:type="dxa"/>
            <w:gridSpan w:val="3"/>
            <w:tcBorders>
              <w:top w:val="single" w:color="auto" w:sz="6" w:space="0"/>
              <w:left w:val="single" w:color="auto" w:sz="6" w:space="0"/>
              <w:bottom w:val="single" w:color="auto" w:sz="12" w:space="0"/>
              <w:right w:val="single" w:color="auto" w:sz="12" w:space="0"/>
            </w:tcBorders>
            <w:vAlign w:val="center"/>
          </w:tcPr>
          <w:p>
            <w:pPr>
              <w:autoSpaceDE w:val="0"/>
              <w:autoSpaceDN w:val="0"/>
              <w:adjustRightInd w:val="0"/>
              <w:spacing w:line="360" w:lineRule="auto"/>
              <w:jc w:val="center"/>
              <w:rPr>
                <w:rFonts w:ascii="仿宋_GB2312" w:hAnsi="宋体" w:eastAsia="仿宋_GB2312" w:cs="宋体"/>
                <w:kern w:val="0"/>
                <w:sz w:val="24"/>
                <w:lang w:val="zh-CN"/>
              </w:rPr>
            </w:pPr>
          </w:p>
        </w:tc>
      </w:tr>
    </w:tbl>
    <w:p>
      <w:pPr>
        <w:autoSpaceDE w:val="0"/>
        <w:autoSpaceDN w:val="0"/>
        <w:adjustRightInd w:val="0"/>
        <w:jc w:val="left"/>
        <w:rPr>
          <w:rFonts w:ascii="仿宋_GB2312" w:hAnsi="宋体" w:eastAsia="仿宋_GB2312" w:cs="宋体"/>
          <w:sz w:val="24"/>
          <w:lang w:val="zh-CN"/>
        </w:rPr>
      </w:pPr>
      <w:r>
        <w:rPr>
          <w:rFonts w:hint="eastAsia" w:ascii="仿宋_GB2312" w:hAnsi="宋体" w:eastAsia="仿宋_GB2312" w:cs="宋体"/>
          <w:sz w:val="24"/>
          <w:lang w:val="zh-CN"/>
        </w:rPr>
        <w:t>注： 1、提供主要人员的专业经验, 特别须注明其在技术及管理方面与本工程相类似的特殊经验。</w:t>
      </w:r>
    </w:p>
    <w:p>
      <w:pPr>
        <w:autoSpaceDE w:val="0"/>
        <w:autoSpaceDN w:val="0"/>
        <w:adjustRightInd w:val="0"/>
        <w:ind w:firstLine="103" w:firstLineChars="43"/>
        <w:jc w:val="left"/>
        <w:rPr>
          <w:rFonts w:ascii="仿宋_GB2312" w:hAnsi="宋体" w:eastAsia="仿宋_GB2312" w:cs="宋体"/>
          <w:sz w:val="24"/>
          <w:lang w:val="zh-CN"/>
        </w:rPr>
      </w:pPr>
      <w:r>
        <w:rPr>
          <w:rFonts w:hint="eastAsia" w:ascii="仿宋_GB2312" w:hAnsi="宋体" w:eastAsia="仿宋_GB2312" w:cs="宋体"/>
          <w:sz w:val="24"/>
          <w:lang w:val="zh-CN"/>
        </w:rPr>
        <w:t>　　2、投标申请人须提供拟派往本招标工程的项目经理与项目总工的技术职称和资格等级证书复印件。</w:t>
      </w:r>
    </w:p>
    <w:p>
      <w:pPr>
        <w:pStyle w:val="18"/>
        <w:adjustRightInd w:val="0"/>
        <w:snapToGrid w:val="0"/>
        <w:spacing w:beforeLines="20" w:afterLines="20" w:line="540" w:lineRule="exact"/>
        <w:rPr>
          <w:rFonts w:ascii="仿宋_GB2312" w:eastAsia="仿宋_GB2312"/>
          <w:kern w:val="0"/>
          <w:sz w:val="24"/>
          <w:szCs w:val="20"/>
        </w:rPr>
      </w:pPr>
    </w:p>
    <w:p>
      <w:pPr>
        <w:pStyle w:val="26"/>
        <w:jc w:val="center"/>
        <w:rPr>
          <w:rFonts w:ascii="仿宋_GB2312" w:eastAsia="仿宋_GB2312"/>
          <w:b/>
          <w:sz w:val="28"/>
          <w:szCs w:val="28"/>
        </w:rPr>
        <w:sectPr>
          <w:pgSz w:w="11907" w:h="16840"/>
          <w:pgMar w:top="1298" w:right="1077" w:bottom="1060" w:left="1077" w:header="851" w:footer="737" w:gutter="0"/>
          <w:cols w:space="720" w:num="1"/>
          <w:docGrid w:type="lines" w:linePitch="476" w:charSpace="0"/>
        </w:sectPr>
      </w:pPr>
      <w:bookmarkStart w:id="618" w:name="_Toc171581382"/>
      <w:bookmarkStart w:id="619" w:name="_Toc171581562"/>
      <w:bookmarkStart w:id="620" w:name="_Toc171742005"/>
    </w:p>
    <w:p>
      <w:pPr>
        <w:pStyle w:val="26"/>
        <w:jc w:val="center"/>
        <w:rPr>
          <w:rFonts w:ascii="仿宋_GB2312" w:eastAsia="仿宋_GB2312"/>
          <w:b/>
          <w:sz w:val="28"/>
          <w:szCs w:val="28"/>
        </w:rPr>
      </w:pPr>
      <w:r>
        <w:rPr>
          <w:rFonts w:hint="eastAsia" w:ascii="仿宋_GB2312" w:eastAsia="仿宋_GB2312"/>
          <w:b/>
          <w:sz w:val="28"/>
          <w:szCs w:val="28"/>
        </w:rPr>
        <w:t>九、施工组织设计</w:t>
      </w:r>
      <w:bookmarkEnd w:id="618"/>
      <w:bookmarkEnd w:id="619"/>
      <w:bookmarkEnd w:id="620"/>
    </w:p>
    <w:p>
      <w:pPr>
        <w:pStyle w:val="18"/>
        <w:adjustRightInd w:val="0"/>
        <w:snapToGrid w:val="0"/>
        <w:spacing w:beforeLines="20" w:afterLines="20"/>
        <w:ind w:firstLine="480" w:firstLineChars="200"/>
        <w:rPr>
          <w:rFonts w:ascii="仿宋_GB2312" w:eastAsia="仿宋_GB2312"/>
          <w:sz w:val="24"/>
        </w:rPr>
      </w:pPr>
      <w:r>
        <w:rPr>
          <w:rFonts w:hint="eastAsia" w:ascii="仿宋_GB2312" w:eastAsia="仿宋_GB2312"/>
          <w:sz w:val="24"/>
        </w:rPr>
        <w:t>1</w:t>
      </w:r>
      <w:r>
        <w:rPr>
          <w:rFonts w:hint="eastAsia" w:ascii="仿宋_GB2312" w:hAnsi="宋体" w:eastAsia="仿宋_GB2312"/>
          <w:sz w:val="24"/>
        </w:rPr>
        <w:t>、投标人编制施工组织设计，包括招标文件规定的施工组织设计基本内容。编制具体要求是：编制时应采用文字并结合图表形式说明各分部分项工程的施工方法；拟投入的主要施工机械设备情况、劳动力计划等；结合招标工程特点提出切实可行的工程质量、安全生产、文明施工、工程进度、技术组织措施，同时应对关键工序、复杂环节重点提出相应技术措施，如冬雨季施工技术措施、减少扰民噪音、降低环境污染技术措施、地下管线及其他地上地下设施的保护加固措施等。</w:t>
      </w:r>
    </w:p>
    <w:p>
      <w:pPr>
        <w:pStyle w:val="18"/>
        <w:adjustRightInd w:val="0"/>
        <w:snapToGrid w:val="0"/>
        <w:spacing w:beforeLines="20" w:afterLines="20"/>
        <w:ind w:firstLine="480" w:firstLineChars="200"/>
        <w:rPr>
          <w:rFonts w:ascii="仿宋_GB2312" w:eastAsia="仿宋_GB2312"/>
          <w:sz w:val="24"/>
        </w:rPr>
      </w:pPr>
      <w:r>
        <w:rPr>
          <w:rFonts w:hint="eastAsia" w:ascii="仿宋_GB2312" w:eastAsia="仿宋_GB2312"/>
          <w:sz w:val="24"/>
        </w:rPr>
        <w:t>2</w:t>
      </w:r>
      <w:r>
        <w:rPr>
          <w:rFonts w:hint="eastAsia" w:ascii="仿宋_GB2312" w:hAnsi="宋体" w:eastAsia="仿宋_GB2312"/>
          <w:sz w:val="24"/>
        </w:rPr>
        <w:t>、施工组织设计除采用文字表述外应附图表。</w:t>
      </w:r>
    </w:p>
    <w:p>
      <w:pPr>
        <w:adjustRightInd w:val="0"/>
        <w:snapToGrid w:val="0"/>
        <w:spacing w:beforeLines="20" w:afterLines="20"/>
        <w:ind w:left="960"/>
        <w:rPr>
          <w:rFonts w:ascii="仿宋_GB2312" w:eastAsia="仿宋_GB2312"/>
          <w:sz w:val="24"/>
        </w:rPr>
      </w:pPr>
      <w:r>
        <w:rPr>
          <w:rFonts w:hint="eastAsia" w:ascii="仿宋_GB2312" w:hAnsi="宋体" w:eastAsia="仿宋_GB2312"/>
          <w:sz w:val="24"/>
        </w:rPr>
        <w:t>（1）各分部分项工程的主要施工方案与技术措施；</w:t>
      </w:r>
    </w:p>
    <w:p>
      <w:pPr>
        <w:adjustRightInd w:val="0"/>
        <w:snapToGrid w:val="0"/>
        <w:spacing w:beforeLines="20" w:afterLines="20"/>
        <w:ind w:left="960"/>
        <w:rPr>
          <w:rFonts w:ascii="仿宋_GB2312" w:eastAsia="仿宋_GB2312"/>
          <w:sz w:val="24"/>
        </w:rPr>
      </w:pPr>
      <w:r>
        <w:rPr>
          <w:rFonts w:hint="eastAsia" w:ascii="仿宋_GB2312" w:hAnsi="宋体" w:eastAsia="仿宋_GB2312"/>
          <w:sz w:val="24"/>
        </w:rPr>
        <w:t>（2）确保工程质量管理体系与措施；</w:t>
      </w:r>
    </w:p>
    <w:p>
      <w:pPr>
        <w:adjustRightInd w:val="0"/>
        <w:snapToGrid w:val="0"/>
        <w:spacing w:beforeLines="20" w:afterLines="20"/>
        <w:ind w:firstLine="960" w:firstLineChars="400"/>
        <w:rPr>
          <w:rFonts w:ascii="仿宋_GB2312" w:eastAsia="仿宋_GB2312"/>
          <w:sz w:val="24"/>
        </w:rPr>
      </w:pPr>
      <w:r>
        <w:rPr>
          <w:rFonts w:hint="eastAsia" w:ascii="仿宋_GB2312" w:hAnsi="宋体" w:eastAsia="仿宋_GB2312"/>
          <w:sz w:val="24"/>
        </w:rPr>
        <w:t>（3）确保安全生产、文明施工管理体系与措施；</w:t>
      </w:r>
    </w:p>
    <w:p>
      <w:pPr>
        <w:adjustRightInd w:val="0"/>
        <w:snapToGrid w:val="0"/>
        <w:spacing w:beforeLines="20" w:afterLines="20"/>
        <w:ind w:firstLine="960" w:firstLineChars="400"/>
        <w:rPr>
          <w:rFonts w:ascii="仿宋_GB2312" w:eastAsia="仿宋_GB2312"/>
          <w:sz w:val="24"/>
        </w:rPr>
      </w:pPr>
      <w:r>
        <w:rPr>
          <w:rFonts w:hint="eastAsia" w:ascii="仿宋_GB2312" w:hAnsi="宋体" w:eastAsia="仿宋_GB2312"/>
          <w:sz w:val="24"/>
        </w:rPr>
        <w:t>（4）工程进度计划与措施及施工网络图；</w:t>
      </w:r>
    </w:p>
    <w:p>
      <w:pPr>
        <w:adjustRightInd w:val="0"/>
        <w:snapToGrid w:val="0"/>
        <w:spacing w:beforeLines="20" w:afterLines="20"/>
        <w:rPr>
          <w:rFonts w:ascii="仿宋_GB2312" w:eastAsia="仿宋_GB2312"/>
          <w:sz w:val="24"/>
        </w:rPr>
      </w:pPr>
      <w:r>
        <w:rPr>
          <w:rFonts w:hint="eastAsia" w:ascii="仿宋_GB2312" w:eastAsia="仿宋_GB2312"/>
          <w:sz w:val="24"/>
        </w:rPr>
        <w:t xml:space="preserve">   （5）</w:t>
      </w:r>
      <w:r>
        <w:rPr>
          <w:rFonts w:hint="eastAsia" w:ascii="仿宋_GB2312" w:hAnsi="宋体" w:eastAsia="仿宋_GB2312"/>
          <w:sz w:val="24"/>
        </w:rPr>
        <w:t>确保工程进度计划及技术组织措施</w:t>
      </w:r>
      <w:r>
        <w:rPr>
          <w:rFonts w:hint="eastAsia" w:ascii="仿宋_GB2312" w:eastAsia="仿宋_GB2312"/>
          <w:sz w:val="24"/>
        </w:rPr>
        <w:t>(</w:t>
      </w:r>
      <w:r>
        <w:rPr>
          <w:rFonts w:hint="eastAsia" w:ascii="仿宋_GB2312" w:hAnsi="宋体" w:eastAsia="仿宋_GB2312"/>
          <w:sz w:val="24"/>
        </w:rPr>
        <w:t>附施工进度表或工期网络图</w:t>
      </w:r>
      <w:r>
        <w:rPr>
          <w:rFonts w:hint="eastAsia" w:ascii="仿宋_GB2312" w:eastAsia="仿宋_GB2312"/>
          <w:sz w:val="24"/>
        </w:rPr>
        <w:t>)</w:t>
      </w:r>
      <w:r>
        <w:rPr>
          <w:rFonts w:hint="eastAsia" w:ascii="仿宋_GB2312" w:hAnsi="宋体" w:eastAsia="仿宋_GB2312"/>
          <w:sz w:val="24"/>
        </w:rPr>
        <w:t>；</w:t>
      </w:r>
    </w:p>
    <w:p>
      <w:pPr>
        <w:adjustRightInd w:val="0"/>
        <w:snapToGrid w:val="0"/>
        <w:spacing w:beforeLines="20" w:afterLines="20"/>
        <w:ind w:firstLine="960" w:firstLineChars="400"/>
        <w:rPr>
          <w:rFonts w:ascii="仿宋_GB2312" w:eastAsia="仿宋_GB2312"/>
          <w:sz w:val="24"/>
        </w:rPr>
      </w:pPr>
      <w:r>
        <w:rPr>
          <w:rFonts w:hint="eastAsia" w:ascii="仿宋_GB2312" w:eastAsia="仿宋_GB2312"/>
          <w:sz w:val="24"/>
        </w:rPr>
        <w:t>（6）</w:t>
      </w:r>
      <w:r>
        <w:rPr>
          <w:rFonts w:hint="eastAsia" w:ascii="仿宋_GB2312" w:hAnsi="宋体" w:eastAsia="仿宋_GB2312"/>
          <w:sz w:val="24"/>
        </w:rPr>
        <w:t>资源配备计划</w:t>
      </w:r>
    </w:p>
    <w:p>
      <w:pPr>
        <w:numPr>
          <w:ilvl w:val="3"/>
          <w:numId w:val="2"/>
        </w:numPr>
        <w:tabs>
          <w:tab w:val="left" w:pos="1486"/>
          <w:tab w:val="clear" w:pos="2580"/>
        </w:tabs>
        <w:adjustRightInd w:val="0"/>
        <w:snapToGrid w:val="0"/>
        <w:spacing w:beforeLines="20" w:afterLines="20"/>
        <w:ind w:left="1486" w:hanging="60"/>
        <w:rPr>
          <w:rFonts w:ascii="仿宋_GB2312" w:eastAsia="仿宋_GB2312"/>
          <w:sz w:val="24"/>
        </w:rPr>
      </w:pPr>
      <w:r>
        <w:rPr>
          <w:rFonts w:hint="eastAsia" w:ascii="仿宋_GB2312" w:hAnsi="宋体" w:eastAsia="仿宋_GB2312"/>
          <w:sz w:val="24"/>
        </w:rPr>
        <w:t>工程投入的主要物资</w:t>
      </w:r>
      <w:r>
        <w:rPr>
          <w:rFonts w:hint="eastAsia" w:ascii="仿宋_GB2312" w:eastAsia="仿宋_GB2312"/>
          <w:sz w:val="24"/>
        </w:rPr>
        <w:t>(</w:t>
      </w:r>
      <w:r>
        <w:rPr>
          <w:rFonts w:hint="eastAsia" w:ascii="仿宋_GB2312" w:hAnsi="宋体" w:eastAsia="仿宋_GB2312"/>
          <w:sz w:val="24"/>
        </w:rPr>
        <w:t>材料</w:t>
      </w:r>
      <w:r>
        <w:rPr>
          <w:rFonts w:hint="eastAsia" w:ascii="仿宋_GB2312" w:eastAsia="仿宋_GB2312"/>
          <w:sz w:val="24"/>
        </w:rPr>
        <w:t>)</w:t>
      </w:r>
      <w:r>
        <w:rPr>
          <w:rFonts w:hint="eastAsia" w:ascii="仿宋_GB2312" w:hAnsi="宋体" w:eastAsia="仿宋_GB2312"/>
          <w:sz w:val="24"/>
        </w:rPr>
        <w:t>情况描述及进场计划</w:t>
      </w:r>
      <w:r>
        <w:rPr>
          <w:rFonts w:hint="eastAsia" w:ascii="仿宋_GB2312" w:eastAsia="仿宋_GB2312"/>
          <w:sz w:val="24"/>
        </w:rPr>
        <w:t>(</w:t>
      </w:r>
      <w:r>
        <w:rPr>
          <w:rFonts w:hint="eastAsia" w:ascii="仿宋_GB2312" w:hAnsi="宋体" w:eastAsia="仿宋_GB2312"/>
          <w:sz w:val="24"/>
        </w:rPr>
        <w:t>附拟投入的主要施工机械设备表</w:t>
      </w:r>
      <w:r>
        <w:rPr>
          <w:rFonts w:hint="eastAsia" w:ascii="仿宋_GB2312" w:eastAsia="仿宋_GB2312"/>
          <w:sz w:val="24"/>
        </w:rPr>
        <w:t>)</w:t>
      </w:r>
      <w:r>
        <w:rPr>
          <w:rFonts w:hint="eastAsia" w:ascii="仿宋_GB2312" w:hAnsi="宋体" w:eastAsia="仿宋_GB2312"/>
          <w:sz w:val="24"/>
        </w:rPr>
        <w:t>；</w:t>
      </w:r>
    </w:p>
    <w:p>
      <w:pPr>
        <w:numPr>
          <w:ilvl w:val="3"/>
          <w:numId w:val="2"/>
        </w:numPr>
        <w:tabs>
          <w:tab w:val="left" w:pos="1486"/>
          <w:tab w:val="clear" w:pos="2580"/>
        </w:tabs>
        <w:adjustRightInd w:val="0"/>
        <w:snapToGrid w:val="0"/>
        <w:spacing w:beforeLines="20" w:afterLines="20"/>
        <w:ind w:left="1486" w:hanging="60"/>
        <w:rPr>
          <w:rFonts w:ascii="仿宋_GB2312" w:eastAsia="仿宋_GB2312"/>
          <w:sz w:val="24"/>
        </w:rPr>
      </w:pPr>
      <w:r>
        <w:rPr>
          <w:rFonts w:hint="eastAsia" w:ascii="仿宋_GB2312" w:hAnsi="宋体" w:eastAsia="仿宋_GB2312"/>
          <w:sz w:val="24"/>
        </w:rPr>
        <w:t>工程投入的主要施工机械设备情况、主要施工机械进场计划；</w:t>
      </w:r>
    </w:p>
    <w:p>
      <w:pPr>
        <w:numPr>
          <w:ilvl w:val="3"/>
          <w:numId w:val="2"/>
        </w:numPr>
        <w:tabs>
          <w:tab w:val="left" w:pos="1486"/>
          <w:tab w:val="clear" w:pos="2580"/>
        </w:tabs>
        <w:adjustRightInd w:val="0"/>
        <w:snapToGrid w:val="0"/>
        <w:spacing w:beforeLines="20" w:afterLines="20"/>
        <w:ind w:left="1486" w:hanging="60"/>
        <w:rPr>
          <w:rFonts w:ascii="仿宋_GB2312" w:eastAsia="仿宋_GB2312"/>
          <w:sz w:val="24"/>
        </w:rPr>
      </w:pPr>
      <w:r>
        <w:rPr>
          <w:rFonts w:hint="eastAsia" w:ascii="仿宋_GB2312" w:hAnsi="宋体" w:eastAsia="仿宋_GB2312"/>
          <w:sz w:val="24"/>
        </w:rPr>
        <w:t>劳动力安排计划及劳动力计划表；</w:t>
      </w:r>
    </w:p>
    <w:p>
      <w:pPr>
        <w:adjustRightInd w:val="0"/>
        <w:snapToGrid w:val="0"/>
        <w:spacing w:beforeLines="20" w:afterLines="20"/>
        <w:ind w:left="960"/>
        <w:rPr>
          <w:rFonts w:ascii="仿宋_GB2312" w:eastAsia="仿宋_GB2312"/>
          <w:sz w:val="24"/>
        </w:rPr>
      </w:pPr>
      <w:r>
        <w:rPr>
          <w:rFonts w:hint="eastAsia" w:ascii="仿宋_GB2312" w:eastAsia="仿宋_GB2312"/>
          <w:sz w:val="24"/>
        </w:rPr>
        <w:t>（7）</w:t>
      </w:r>
      <w:r>
        <w:rPr>
          <w:rFonts w:hint="eastAsia" w:ascii="仿宋_GB2312" w:hAnsi="宋体" w:eastAsia="仿宋_GB2312"/>
          <w:sz w:val="24"/>
        </w:rPr>
        <w:t>施工总平面图及临时用地表；</w:t>
      </w:r>
    </w:p>
    <w:p>
      <w:pPr>
        <w:adjustRightInd w:val="0"/>
        <w:snapToGrid w:val="0"/>
        <w:spacing w:beforeLines="20" w:afterLines="20"/>
        <w:ind w:left="960"/>
        <w:rPr>
          <w:rFonts w:ascii="黑体" w:eastAsia="黑体"/>
          <w:sz w:val="24"/>
        </w:rPr>
      </w:pPr>
      <w:r>
        <w:rPr>
          <w:rFonts w:hint="eastAsia" w:ascii="黑体" w:eastAsia="黑体"/>
          <w:sz w:val="24"/>
        </w:rPr>
        <w:t>（8）工期、质量说明；</w:t>
      </w:r>
    </w:p>
    <w:p>
      <w:pPr>
        <w:adjustRightInd w:val="0"/>
        <w:snapToGrid w:val="0"/>
        <w:spacing w:beforeLines="20" w:afterLines="20"/>
        <w:ind w:left="960"/>
        <w:rPr>
          <w:rFonts w:ascii="仿宋_GB2312" w:hAnsi="宋体" w:eastAsia="仿宋_GB2312"/>
          <w:sz w:val="24"/>
        </w:rPr>
      </w:pPr>
      <w:r>
        <w:rPr>
          <w:rFonts w:hint="eastAsia" w:ascii="仿宋_GB2312" w:hAnsi="宋体" w:eastAsia="仿宋_GB2312"/>
          <w:sz w:val="24"/>
        </w:rPr>
        <w:t>（9）有必要说明的其他内容。</w:t>
      </w: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adjustRightInd w:val="0"/>
        <w:snapToGrid w:val="0"/>
        <w:spacing w:beforeLines="20" w:afterLines="20"/>
        <w:ind w:left="960"/>
        <w:rPr>
          <w:rFonts w:ascii="仿宋_GB2312" w:eastAsia="仿宋_GB2312"/>
          <w:sz w:val="24"/>
        </w:rPr>
      </w:pPr>
    </w:p>
    <w:p>
      <w:pPr>
        <w:pStyle w:val="26"/>
        <w:jc w:val="center"/>
        <w:rPr>
          <w:rFonts w:ascii="仿宋_GB2312" w:eastAsia="仿宋_GB2312"/>
          <w:b/>
          <w:sz w:val="28"/>
          <w:szCs w:val="28"/>
        </w:rPr>
      </w:pPr>
      <w:r>
        <w:rPr>
          <w:rFonts w:hint="eastAsia" w:ascii="仿宋_GB2312" w:eastAsia="仿宋_GB2312"/>
          <w:b/>
          <w:sz w:val="28"/>
          <w:szCs w:val="28"/>
        </w:rPr>
        <w:t>十、其他资料</w:t>
      </w:r>
    </w:p>
    <w:p>
      <w:pPr>
        <w:widowControl/>
        <w:jc w:val="left"/>
        <w:rPr>
          <w:rFonts w:ascii="宋体" w:hAnsi="宋体" w:cs="Courier New"/>
          <w:b/>
          <w:sz w:val="28"/>
          <w:szCs w:val="28"/>
        </w:rPr>
      </w:pPr>
      <w:r>
        <w:rPr>
          <w:rFonts w:ascii="宋体" w:hAnsi="宋体" w:cs="Courier New"/>
          <w:b/>
          <w:sz w:val="28"/>
          <w:szCs w:val="28"/>
        </w:rPr>
        <w:br w:type="page"/>
      </w:r>
    </w:p>
    <w:p>
      <w:pPr>
        <w:pStyle w:val="26"/>
        <w:jc w:val="center"/>
        <w:rPr>
          <w:rFonts w:hAnsi="宋体"/>
          <w:b/>
          <w:kern w:val="0"/>
        </w:rPr>
      </w:pPr>
      <w:r>
        <w:rPr>
          <w:rFonts w:hint="eastAsia" w:ascii="仿宋_GB2312" w:eastAsia="仿宋_GB2312"/>
          <w:b/>
          <w:sz w:val="28"/>
          <w:szCs w:val="28"/>
        </w:rPr>
        <w:t>十一、联合体成员（非牵头人）投标资料（如有）</w:t>
      </w:r>
    </w:p>
    <w:p>
      <w:pPr>
        <w:widowControl/>
        <w:jc w:val="left"/>
        <w:rPr>
          <w:rFonts w:ascii="仿宋_GB2312" w:eastAsia="仿宋_GB2312"/>
          <w:sz w:val="24"/>
        </w:rPr>
      </w:pPr>
      <w:r>
        <w:rPr>
          <w:rFonts w:ascii="仿宋_GB2312" w:eastAsia="仿宋_GB2312"/>
          <w:sz w:val="24"/>
        </w:rPr>
        <w:br w:type="page"/>
      </w:r>
    </w:p>
    <w:p>
      <w:pPr>
        <w:pStyle w:val="26"/>
        <w:jc w:val="center"/>
        <w:rPr>
          <w:rFonts w:ascii="仿宋_GB2312" w:eastAsia="仿宋_GB2312"/>
          <w:b/>
          <w:sz w:val="28"/>
          <w:szCs w:val="28"/>
        </w:rPr>
      </w:pPr>
      <w:r>
        <w:rPr>
          <w:rFonts w:hint="eastAsia" w:ascii="仿宋_GB2312" w:eastAsia="仿宋_GB2312"/>
          <w:b/>
          <w:sz w:val="28"/>
          <w:szCs w:val="28"/>
        </w:rPr>
        <w:t>十二、承诺书</w:t>
      </w:r>
    </w:p>
    <w:p>
      <w:pPr>
        <w:adjustRightInd w:val="0"/>
        <w:snapToGrid w:val="0"/>
        <w:ind w:firstLine="391"/>
        <w:rPr>
          <w:rFonts w:ascii="宋体" w:hAnsi="宋体" w:cs="宋体"/>
          <w:kern w:val="0"/>
          <w:sz w:val="24"/>
        </w:rPr>
      </w:pPr>
      <w:permStart w:id="98" w:edGrp="everyone"/>
      <w:r>
        <w:rPr>
          <w:rFonts w:hint="eastAsia" w:ascii="宋体" w:hAnsi="宋体" w:cs="宋体"/>
          <w:kern w:val="0"/>
          <w:sz w:val="24"/>
        </w:rPr>
        <w:t>1、我单位在</w:t>
      </w:r>
      <w:r>
        <w:rPr>
          <w:rFonts w:hint="eastAsia" w:ascii="宋体" w:hAnsi="宋体" w:cs="宋体"/>
          <w:kern w:val="0"/>
          <w:sz w:val="24"/>
          <w:u w:val="single"/>
        </w:rPr>
        <w:t xml:space="preserve">          </w:t>
      </w:r>
      <w:r>
        <w:rPr>
          <w:rFonts w:hint="eastAsia" w:ascii="宋体" w:hAnsi="宋体" w:cs="宋体"/>
          <w:kern w:val="0"/>
          <w:sz w:val="24"/>
        </w:rPr>
        <w:t>项目投</w:t>
      </w:r>
      <w:permEnd w:id="98"/>
      <w:r>
        <w:rPr>
          <w:rFonts w:hint="eastAsia" w:ascii="宋体" w:hAnsi="宋体" w:cs="宋体"/>
          <w:kern w:val="0"/>
          <w:sz w:val="24"/>
        </w:rPr>
        <w:t>标中提供的投标被授权人，以及投标文件中确定的项目管理人员、服务人员等均与我单位具有劳动合同关系，为我单位的工作人员，且已依法缴纳社会保险（其中，在本项目投标截止前，项目经理在我单位任职及缴纳社保时间不少于6个月，其他项目管理人员在我单位任职及缴纳社保时间不少于3个月），符合招标文件要求。</w:t>
      </w:r>
    </w:p>
    <w:p>
      <w:pPr>
        <w:widowControl/>
        <w:ind w:firstLine="480" w:firstLineChars="200"/>
        <w:jc w:val="left"/>
        <w:rPr>
          <w:rFonts w:ascii="宋体" w:hAnsi="宋体" w:cs="宋体"/>
          <w:kern w:val="0"/>
          <w:sz w:val="24"/>
        </w:rPr>
      </w:pPr>
      <w:r>
        <w:rPr>
          <w:rFonts w:hint="eastAsia" w:ascii="宋体" w:hAnsi="宋体" w:cs="宋体"/>
          <w:kern w:val="0"/>
          <w:sz w:val="24"/>
        </w:rPr>
        <w:t>上述陈述的事实如有虚假，我单位同意承担全部法律责任，认可并接受对我单位作出的任何处理结果。</w:t>
      </w:r>
    </w:p>
    <w:p>
      <w:pPr>
        <w:widowControl/>
        <w:ind w:firstLine="480" w:firstLineChars="200"/>
        <w:jc w:val="left"/>
        <w:rPr>
          <w:rFonts w:ascii="宋体" w:hAnsi="宋体" w:cs="宋体"/>
          <w:kern w:val="0"/>
          <w:sz w:val="24"/>
        </w:rPr>
      </w:pPr>
      <w:r>
        <w:rPr>
          <w:rFonts w:hint="eastAsia" w:ascii="宋体" w:hAnsi="宋体" w:cs="宋体"/>
          <w:kern w:val="0"/>
          <w:sz w:val="24"/>
        </w:rPr>
        <w:t>特此承诺！</w:t>
      </w:r>
    </w:p>
    <w:p>
      <w:pPr>
        <w:widowControl/>
        <w:ind w:firstLine="5280" w:firstLineChars="2200"/>
        <w:jc w:val="left"/>
        <w:rPr>
          <w:rFonts w:ascii="宋体" w:hAnsi="宋体" w:cs="宋体"/>
          <w:kern w:val="0"/>
          <w:sz w:val="24"/>
        </w:rPr>
      </w:pPr>
      <w:r>
        <w:rPr>
          <w:rFonts w:hint="eastAsia" w:ascii="宋体" w:hAnsi="宋体" w:cs="宋体"/>
          <w:kern w:val="0"/>
          <w:sz w:val="24"/>
        </w:rPr>
        <w:t>承诺人：</w:t>
      </w:r>
      <w:r>
        <w:rPr>
          <w:rFonts w:hint="eastAsia" w:ascii="宋体" w:hAnsi="宋体" w:cs="宋体"/>
          <w:kern w:val="0"/>
          <w:sz w:val="24"/>
          <w:u w:val="single"/>
        </w:rPr>
        <w:t>（盖单位章）</w:t>
      </w:r>
    </w:p>
    <w:p>
      <w:pPr>
        <w:adjustRightInd w:val="0"/>
        <w:snapToGrid w:val="0"/>
        <w:ind w:left="1199" w:leftChars="571" w:firstLine="2400" w:firstLineChars="1000"/>
        <w:rPr>
          <w:rFonts w:ascii="宋体" w:hAnsi="宋体"/>
          <w:sz w:val="24"/>
        </w:rPr>
      </w:pPr>
      <w:r>
        <w:rPr>
          <w:rFonts w:hint="eastAsia" w:ascii="宋体" w:hAnsi="宋体"/>
          <w:sz w:val="24"/>
        </w:rPr>
        <w:t>法定代表人或企业负责人：</w:t>
      </w:r>
      <w:r>
        <w:rPr>
          <w:rFonts w:hint="eastAsia" w:ascii="宋体" w:hAnsi="宋体"/>
          <w:sz w:val="24"/>
          <w:u w:val="single"/>
        </w:rPr>
        <w:t>（签字或个人印鉴章）</w:t>
      </w:r>
    </w:p>
    <w:p>
      <w:pPr>
        <w:pStyle w:val="26"/>
        <w:ind w:firstLine="7200" w:firstLineChars="3000"/>
        <w:jc w:val="left"/>
        <w:rPr>
          <w:rFonts w:hAnsi="宋体" w:cs="宋体"/>
          <w:kern w:val="0"/>
          <w:sz w:val="24"/>
          <w:szCs w:val="24"/>
        </w:rPr>
      </w:pPr>
      <w:r>
        <w:rPr>
          <w:rFonts w:hAnsi="宋体" w:cs="宋体"/>
          <w:kern w:val="0"/>
          <w:sz w:val="24"/>
          <w:szCs w:val="24"/>
        </w:rPr>
        <w:t>年 </w:t>
      </w:r>
      <w:r>
        <w:rPr>
          <w:rFonts w:hint="eastAsia" w:hAnsi="宋体" w:cs="宋体"/>
          <w:kern w:val="0"/>
          <w:sz w:val="24"/>
          <w:szCs w:val="24"/>
        </w:rPr>
        <w:t xml:space="preserve"> </w:t>
      </w:r>
      <w:r>
        <w:rPr>
          <w:rFonts w:hAnsi="宋体" w:cs="宋体"/>
          <w:kern w:val="0"/>
          <w:sz w:val="24"/>
          <w:szCs w:val="24"/>
        </w:rPr>
        <w:t>月</w:t>
      </w:r>
      <w:r>
        <w:rPr>
          <w:rFonts w:hint="eastAsia" w:hAnsi="宋体" w:cs="宋体"/>
          <w:kern w:val="0"/>
          <w:sz w:val="24"/>
          <w:szCs w:val="24"/>
        </w:rPr>
        <w:t xml:space="preserve">  </w:t>
      </w:r>
      <w:r>
        <w:rPr>
          <w:rFonts w:hAnsi="宋体" w:cs="宋体"/>
          <w:kern w:val="0"/>
          <w:sz w:val="24"/>
          <w:szCs w:val="24"/>
        </w:rPr>
        <w:t>日</w:t>
      </w:r>
    </w:p>
    <w:p>
      <w:pPr>
        <w:pStyle w:val="26"/>
        <w:ind w:firstLine="7200" w:firstLineChars="3000"/>
        <w:jc w:val="left"/>
        <w:rPr>
          <w:rFonts w:hAnsi="宋体" w:cs="宋体"/>
          <w:kern w:val="0"/>
          <w:sz w:val="24"/>
          <w:szCs w:val="24"/>
        </w:rPr>
      </w:pPr>
    </w:p>
    <w:p>
      <w:pPr>
        <w:widowControl/>
        <w:jc w:val="left"/>
        <w:rPr>
          <w:rFonts w:ascii="宋体" w:hAnsi="宋体" w:cs="宋体"/>
          <w:kern w:val="0"/>
          <w:sz w:val="24"/>
        </w:rPr>
      </w:pPr>
      <w:r>
        <w:rPr>
          <w:rFonts w:hAnsi="宋体" w:cs="宋体"/>
          <w:kern w:val="0"/>
          <w:sz w:val="24"/>
        </w:rPr>
        <w:br w:type="page"/>
      </w:r>
    </w:p>
    <w:p>
      <w:pPr>
        <w:pStyle w:val="26"/>
        <w:ind w:firstLine="7200" w:firstLineChars="3000"/>
        <w:jc w:val="left"/>
        <w:rPr>
          <w:rFonts w:hAnsi="宋体" w:cs="宋体"/>
          <w:kern w:val="0"/>
          <w:sz w:val="24"/>
          <w:szCs w:val="24"/>
        </w:rPr>
      </w:pPr>
    </w:p>
    <w:p>
      <w:pPr>
        <w:pStyle w:val="26"/>
        <w:jc w:val="center"/>
        <w:rPr>
          <w:rFonts w:ascii="仿宋_GB2312" w:eastAsia="仿宋_GB2312"/>
          <w:b/>
          <w:sz w:val="28"/>
          <w:szCs w:val="28"/>
        </w:rPr>
      </w:pPr>
      <w:r>
        <w:rPr>
          <w:rFonts w:hint="eastAsia" w:ascii="仿宋_GB2312" w:eastAsia="仿宋_GB2312"/>
          <w:b/>
          <w:sz w:val="28"/>
          <w:szCs w:val="28"/>
        </w:rPr>
        <w:t>十三、投标人无不良信用记录承诺书</w:t>
      </w:r>
    </w:p>
    <w:p>
      <w:pPr>
        <w:jc w:val="center"/>
        <w:rPr>
          <w:rFonts w:ascii="宋体" w:hAnsi="宋体" w:cs="宋体"/>
          <w:color w:val="FF0000"/>
          <w:kern w:val="0"/>
          <w:sz w:val="36"/>
          <w:szCs w:val="36"/>
        </w:rPr>
      </w:pP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我单位承诺提交投标文件前不存在以下情形：</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①被列入法院失信被执行人名单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②因拖欠农民工工资被列入“黑名单”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③存在重大税收违法行为</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上述情形，以“信用中国”网站查询为准。</w:t>
      </w:r>
    </w:p>
    <w:p>
      <w:pPr>
        <w:adjustRightInd w:val="0"/>
        <w:snapToGrid w:val="0"/>
        <w:ind w:firstLine="360"/>
        <w:rPr>
          <w:rFonts w:ascii="宋体" w:hAnsi="宋体" w:cs="宋体"/>
          <w:color w:val="FF0000"/>
          <w:kern w:val="0"/>
          <w:sz w:val="24"/>
        </w:rPr>
      </w:pPr>
      <w:r>
        <w:rPr>
          <w:rFonts w:hint="eastAsia" w:ascii="宋体" w:hAnsi="宋体" w:cs="宋体"/>
          <w:color w:val="FF0000"/>
          <w:kern w:val="0"/>
          <w:sz w:val="24"/>
        </w:rPr>
        <w:t>④被列入严重违法失信企业名单，以国家企业信用信息公示系统网站查询为准。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⑤被列入政府采购严重违法失信行为名单且被限制投标的，以中国政府采购网站查询为准。</w:t>
      </w:r>
    </w:p>
    <w:p>
      <w:pPr>
        <w:adjustRightInd w:val="0"/>
        <w:snapToGrid w:val="0"/>
        <w:ind w:firstLine="360"/>
        <w:rPr>
          <w:rFonts w:ascii="宋体" w:hAnsi="宋体" w:cs="宋体"/>
          <w:color w:val="FF0000"/>
          <w:kern w:val="0"/>
          <w:sz w:val="24"/>
        </w:rPr>
      </w:pPr>
      <w:r>
        <w:rPr>
          <w:rFonts w:hint="eastAsia" w:ascii="宋体" w:hAnsi="宋体" w:cs="宋体"/>
          <w:color w:val="FF0000"/>
          <w:kern w:val="0"/>
          <w:sz w:val="24"/>
        </w:rPr>
        <w:t>⑥</w:t>
      </w:r>
      <w:r>
        <w:rPr>
          <w:rFonts w:ascii="宋体" w:hAnsi="宋体" w:cs="宋体"/>
          <w:color w:val="FF0000"/>
          <w:kern w:val="0"/>
          <w:sz w:val="24"/>
        </w:rPr>
        <w:t>被省级及以上行业监督部门给予行政处理限制该行业投标，被行业监督部门给予行政处罚限制该行业投标（以行政处罚决定书为准），被依法设立的各级公共资源交易综合管理部门在任何区域限制投标。</w:t>
      </w:r>
    </w:p>
    <w:p>
      <w:pPr>
        <w:adjustRightInd w:val="0"/>
        <w:snapToGrid w:val="0"/>
        <w:ind w:firstLine="360"/>
        <w:rPr>
          <w:rFonts w:ascii="宋体" w:hAnsi="宋体" w:cs="宋体"/>
          <w:color w:val="FF0000"/>
          <w:kern w:val="0"/>
          <w:sz w:val="24"/>
        </w:rPr>
      </w:pPr>
      <w:r>
        <w:rPr>
          <w:rFonts w:hint="eastAsia" w:ascii="宋体" w:hAnsi="宋体" w:cs="宋体"/>
          <w:color w:val="FF0000"/>
          <w:kern w:val="0"/>
          <w:sz w:val="24"/>
        </w:rPr>
        <w:t>⑦</w:t>
      </w:r>
      <w:r>
        <w:rPr>
          <w:rFonts w:ascii="宋体" w:hAnsi="宋体" w:cs="宋体"/>
          <w:color w:val="FF0000"/>
          <w:kern w:val="0"/>
          <w:sz w:val="24"/>
        </w:rPr>
        <w:t>根据《蚌埠市推进严重欠薪失信行为联合惩戒工作的实施意见》（蚌人社发〔2017〕24号）规定的被限制投标。</w:t>
      </w:r>
    </w:p>
    <w:p>
      <w:pPr>
        <w:adjustRightInd w:val="0"/>
        <w:snapToGrid w:val="0"/>
        <w:ind w:firstLine="360" w:firstLineChars="150"/>
        <w:rPr>
          <w:rFonts w:ascii="宋体" w:hAnsi="宋体" w:cs="宋体"/>
          <w:color w:val="FF0000"/>
          <w:kern w:val="0"/>
          <w:sz w:val="24"/>
        </w:rPr>
      </w:pPr>
    </w:p>
    <w:p>
      <w:pPr>
        <w:adjustRightInd w:val="0"/>
        <w:snapToGrid w:val="0"/>
        <w:ind w:firstLine="360" w:firstLineChars="150"/>
        <w:rPr>
          <w:rFonts w:ascii="宋体" w:hAnsi="宋体"/>
          <w:color w:val="FF0000"/>
          <w:sz w:val="24"/>
          <w:shd w:val="pct10" w:color="auto" w:fill="FFFFFF"/>
        </w:rPr>
      </w:pPr>
      <w:r>
        <w:rPr>
          <w:rFonts w:hint="eastAsia" w:ascii="宋体" w:hAnsi="宋体" w:cs="宋体"/>
          <w:color w:val="FF0000"/>
          <w:kern w:val="0"/>
          <w:sz w:val="24"/>
        </w:rPr>
        <w:t>上述陈述的事实如有虚假，我单位同意承担全部法律责任，认可并接受对我单位作出的任何处理结果。</w:t>
      </w:r>
    </w:p>
    <w:p>
      <w:pPr>
        <w:widowControl/>
        <w:ind w:firstLine="480" w:firstLineChars="200"/>
        <w:jc w:val="left"/>
        <w:rPr>
          <w:rFonts w:ascii="宋体" w:hAnsi="宋体" w:cs="宋体"/>
          <w:color w:val="FF0000"/>
          <w:kern w:val="0"/>
          <w:sz w:val="24"/>
        </w:rPr>
      </w:pPr>
      <w:r>
        <w:rPr>
          <w:rFonts w:hint="eastAsia" w:ascii="宋体" w:hAnsi="宋体" w:cs="宋体"/>
          <w:color w:val="FF0000"/>
          <w:kern w:val="0"/>
          <w:sz w:val="24"/>
        </w:rPr>
        <w:t>特此承诺！</w:t>
      </w:r>
    </w:p>
    <w:p>
      <w:pPr>
        <w:widowControl/>
        <w:ind w:firstLine="5280" w:firstLineChars="2200"/>
        <w:jc w:val="left"/>
        <w:rPr>
          <w:rFonts w:ascii="宋体" w:hAnsi="宋体" w:cs="宋体"/>
          <w:kern w:val="0"/>
          <w:sz w:val="24"/>
        </w:rPr>
      </w:pPr>
      <w:r>
        <w:rPr>
          <w:rFonts w:hint="eastAsia" w:ascii="宋体" w:hAnsi="宋体" w:cs="宋体"/>
          <w:kern w:val="0"/>
          <w:sz w:val="24"/>
        </w:rPr>
        <w:t>承诺人：</w:t>
      </w:r>
      <w:r>
        <w:rPr>
          <w:rFonts w:hint="eastAsia" w:ascii="宋体" w:hAnsi="宋体" w:cs="宋体"/>
          <w:kern w:val="0"/>
          <w:sz w:val="24"/>
          <w:u w:val="single"/>
        </w:rPr>
        <w:t>（盖单位章）</w:t>
      </w:r>
    </w:p>
    <w:p>
      <w:pPr>
        <w:adjustRightInd w:val="0"/>
        <w:snapToGrid w:val="0"/>
        <w:ind w:left="1199" w:leftChars="571" w:firstLine="2400" w:firstLineChars="1000"/>
        <w:rPr>
          <w:rFonts w:ascii="宋体" w:hAnsi="宋体"/>
          <w:sz w:val="24"/>
        </w:rPr>
      </w:pPr>
      <w:r>
        <w:rPr>
          <w:rFonts w:hint="eastAsia" w:ascii="宋体" w:hAnsi="宋体"/>
          <w:sz w:val="24"/>
        </w:rPr>
        <w:t>法定代表人或企业负责人：</w:t>
      </w:r>
      <w:r>
        <w:rPr>
          <w:rFonts w:hint="eastAsia" w:ascii="宋体" w:hAnsi="宋体"/>
          <w:sz w:val="24"/>
          <w:u w:val="single"/>
        </w:rPr>
        <w:t>（签字或个人印鉴章）</w:t>
      </w:r>
    </w:p>
    <w:p>
      <w:pPr>
        <w:widowControl/>
        <w:ind w:firstLine="5280" w:firstLineChars="2200"/>
        <w:jc w:val="left"/>
        <w:rPr>
          <w:rFonts w:ascii="宋体" w:hAnsi="宋体" w:cs="宋体"/>
          <w:kern w:val="0"/>
          <w:sz w:val="24"/>
        </w:rPr>
      </w:pPr>
    </w:p>
    <w:p>
      <w:pPr>
        <w:ind w:firstLine="5880" w:firstLineChars="2450"/>
        <w:jc w:val="left"/>
        <w:rPr>
          <w:rFonts w:ascii="宋体" w:hAnsi="宋体" w:cs="宋体"/>
          <w:kern w:val="0"/>
          <w:sz w:val="24"/>
        </w:rPr>
      </w:pPr>
      <w:r>
        <w:rPr>
          <w:rFonts w:hint="eastAsia" w:ascii="宋体" w:hAnsi="宋体" w:cs="宋体"/>
          <w:kern w:val="0"/>
          <w:sz w:val="24"/>
        </w:rPr>
        <w:t>年</w:t>
      </w:r>
      <w:r>
        <w:rPr>
          <w:rFonts w:ascii="宋体" w:hAnsi="宋体" w:cs="宋体"/>
          <w:kern w:val="0"/>
          <w:sz w:val="24"/>
        </w:rPr>
        <w:t> </w:t>
      </w:r>
      <w:r>
        <w:rPr>
          <w:rFonts w:hint="eastAsia" w:ascii="宋体" w:hAnsi="宋体" w:cs="宋体"/>
          <w:kern w:val="0"/>
          <w:sz w:val="24"/>
        </w:rPr>
        <w:t>月  日</w:t>
      </w:r>
    </w:p>
    <w:p>
      <w:pPr>
        <w:rPr>
          <w:rFonts w:hint="eastAsia" w:eastAsia="宋体"/>
          <w:lang w:val="en-US" w:eastAsia="zh-CN"/>
        </w:rPr>
      </w:pPr>
    </w:p>
    <w:p>
      <w:pPr>
        <w:rPr>
          <w:rFonts w:hint="eastAsia" w:ascii="宋体" w:hAnsi="宋体" w:cs="Courier New"/>
          <w:b/>
          <w:color w:val="FF0000"/>
          <w:sz w:val="28"/>
          <w:szCs w:val="28"/>
          <w:lang w:eastAsia="zh-CN"/>
        </w:rPr>
      </w:pPr>
      <w:r>
        <w:rPr>
          <w:rFonts w:hint="eastAsia" w:ascii="宋体" w:hAnsi="宋体" w:cs="Courier New"/>
          <w:b/>
          <w:color w:val="FF0000"/>
          <w:sz w:val="28"/>
          <w:szCs w:val="28"/>
          <w:lang w:eastAsia="zh-CN"/>
        </w:rPr>
        <w:br w:type="page"/>
      </w:r>
    </w:p>
    <w:p>
      <w:pPr>
        <w:jc w:val="center"/>
        <w:rPr>
          <w:rFonts w:hint="eastAsia" w:ascii="宋体" w:hAnsi="宋体" w:cs="Courier New"/>
          <w:b/>
          <w:color w:val="FF0000"/>
          <w:sz w:val="28"/>
          <w:szCs w:val="28"/>
          <w:lang w:eastAsia="zh-CN"/>
        </w:rPr>
      </w:pPr>
      <w:r>
        <w:rPr>
          <w:rFonts w:hint="eastAsia" w:ascii="宋体" w:hAnsi="宋体" w:cs="Courier New"/>
          <w:b/>
          <w:color w:val="FF0000"/>
          <w:sz w:val="28"/>
          <w:szCs w:val="28"/>
          <w:lang w:eastAsia="zh-CN"/>
        </w:rPr>
        <w:t>十四、拟任项目经理变更承诺</w:t>
      </w:r>
      <w:r>
        <w:rPr>
          <w:rFonts w:hint="eastAsia" w:ascii="宋体" w:hAnsi="宋体" w:cs="Courier New"/>
          <w:b/>
          <w:color w:val="FF0000"/>
          <w:sz w:val="21"/>
          <w:szCs w:val="21"/>
          <w:lang w:eastAsia="zh-CN"/>
        </w:rPr>
        <w:t>（如有）</w:t>
      </w:r>
    </w:p>
    <w:p>
      <w:pPr>
        <w:ind w:firstLine="560" w:firstLineChars="200"/>
        <w:rPr>
          <w:rFonts w:hint="eastAsia" w:ascii="宋体" w:hAnsi="宋体" w:eastAsia="宋体" w:cs="宋体"/>
          <w:sz w:val="28"/>
          <w:szCs w:val="28"/>
          <w:lang w:eastAsia="zh-CN"/>
        </w:rPr>
      </w:pPr>
    </w:p>
    <w:p>
      <w:pPr>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我单位在本项目拟任项目经理，目前在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项目担任项目经理，但其</w:t>
      </w:r>
      <w:r>
        <w:rPr>
          <w:rFonts w:hint="eastAsia" w:ascii="宋体" w:hAnsi="宋体" w:eastAsia="宋体" w:cs="宋体"/>
          <w:sz w:val="24"/>
          <w:szCs w:val="24"/>
          <w:u w:val="none"/>
          <w:lang w:eastAsia="zh-CN"/>
        </w:rPr>
        <w:t>所负责</w:t>
      </w:r>
      <w:r>
        <w:rPr>
          <w:rFonts w:hint="eastAsia" w:ascii="宋体" w:hAnsi="宋体" w:eastAsia="宋体" w:cs="宋体"/>
          <w:sz w:val="24"/>
          <w:szCs w:val="24"/>
          <w:lang w:eastAsia="zh-CN"/>
        </w:rPr>
        <w:t>管理的工程项目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□主体已完工，</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eastAsia="zh-CN"/>
        </w:rPr>
        <w:t>□</w:t>
      </w:r>
      <w:r>
        <w:rPr>
          <w:rFonts w:hint="eastAsia" w:ascii="宋体" w:hAnsi="宋体" w:eastAsia="宋体" w:cs="宋体"/>
          <w:sz w:val="24"/>
          <w:szCs w:val="24"/>
          <w:u w:val="single"/>
          <w:lang w:eastAsia="zh-CN"/>
        </w:rPr>
        <w:t>已完成工程量超过</w:t>
      </w:r>
      <w:r>
        <w:rPr>
          <w:rFonts w:hint="eastAsia" w:ascii="宋体" w:hAnsi="宋体" w:eastAsia="宋体" w:cs="宋体"/>
          <w:sz w:val="24"/>
          <w:szCs w:val="24"/>
          <w:u w:val="single"/>
          <w:lang w:val="en-US" w:eastAsia="zh-CN"/>
        </w:rPr>
        <w:t xml:space="preserve">80%  </w:t>
      </w:r>
      <w:r>
        <w:rPr>
          <w:rFonts w:hint="eastAsia" w:ascii="宋体" w:hAnsi="宋体" w:eastAsia="宋体" w:cs="宋体"/>
          <w:sz w:val="24"/>
          <w:szCs w:val="24"/>
          <w:u w:val="none"/>
          <w:lang w:val="en-US" w:eastAsia="zh-CN"/>
        </w:rPr>
        <w:t>。我单位承诺中标</w:t>
      </w:r>
      <w:r>
        <w:rPr>
          <w:rFonts w:hint="eastAsia" w:ascii="宋体" w:hAnsi="宋体" w:eastAsia="宋体" w:cs="宋体"/>
          <w:sz w:val="24"/>
          <w:szCs w:val="24"/>
        </w:rPr>
        <w:t>本项目后</w:t>
      </w:r>
      <w:r>
        <w:rPr>
          <w:rFonts w:hint="eastAsia" w:ascii="宋体" w:hAnsi="宋体" w:eastAsia="宋体" w:cs="宋体"/>
          <w:sz w:val="24"/>
          <w:szCs w:val="24"/>
          <w:lang w:val="en-US" w:eastAsia="zh-CN"/>
        </w:rPr>
        <w:t>10个工作日</w:t>
      </w:r>
      <w:r>
        <w:rPr>
          <w:rFonts w:hint="eastAsia" w:ascii="宋体" w:hAnsi="宋体" w:eastAsia="宋体" w:cs="宋体"/>
          <w:sz w:val="24"/>
          <w:szCs w:val="24"/>
          <w:lang w:eastAsia="zh-CN"/>
        </w:rPr>
        <w:t>（以中标通知书发出时间的次日计算）拟任项目经理</w:t>
      </w:r>
      <w:r>
        <w:rPr>
          <w:rFonts w:hint="eastAsia" w:ascii="宋体" w:hAnsi="宋体" w:eastAsia="宋体" w:cs="宋体"/>
          <w:sz w:val="24"/>
          <w:szCs w:val="24"/>
          <w:lang w:val="en-US" w:eastAsia="zh-CN"/>
        </w:rPr>
        <w:t>内</w:t>
      </w:r>
      <w:r>
        <w:rPr>
          <w:rFonts w:hint="eastAsia" w:ascii="宋体" w:hAnsi="宋体" w:eastAsia="宋体" w:cs="宋体"/>
          <w:sz w:val="24"/>
          <w:szCs w:val="24"/>
        </w:rPr>
        <w:t>变更至本项目履约</w:t>
      </w:r>
      <w:r>
        <w:rPr>
          <w:rFonts w:hint="eastAsia" w:ascii="宋体" w:hAnsi="宋体" w:eastAsia="宋体" w:cs="宋体"/>
          <w:sz w:val="24"/>
          <w:szCs w:val="24"/>
          <w:lang w:eastAsia="zh-CN"/>
        </w:rPr>
        <w:t>。</w:t>
      </w:r>
    </w:p>
    <w:p>
      <w:pPr>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附：在建项目发包方出具的同意项目经理变更的证明</w:t>
      </w:r>
    </w:p>
    <w:p>
      <w:pPr>
        <w:widowControl/>
        <w:ind w:firstLine="5280" w:firstLineChars="2200"/>
        <w:jc w:val="left"/>
        <w:rPr>
          <w:rFonts w:hint="eastAsia" w:ascii="宋体" w:hAnsi="宋体" w:cs="宋体"/>
          <w:kern w:val="0"/>
          <w:sz w:val="24"/>
          <w:szCs w:val="24"/>
        </w:rPr>
      </w:pPr>
    </w:p>
    <w:p>
      <w:pPr>
        <w:widowControl/>
        <w:ind w:firstLine="5280" w:firstLineChars="2200"/>
        <w:jc w:val="left"/>
        <w:rPr>
          <w:rFonts w:hint="eastAsia" w:ascii="宋体" w:hAnsi="宋体" w:cs="宋体"/>
          <w:kern w:val="0"/>
          <w:sz w:val="24"/>
          <w:szCs w:val="24"/>
        </w:rPr>
      </w:pPr>
      <w:r>
        <w:rPr>
          <w:rFonts w:hint="eastAsia" w:ascii="宋体" w:hAnsi="宋体" w:cs="宋体"/>
          <w:kern w:val="0"/>
          <w:sz w:val="24"/>
          <w:szCs w:val="24"/>
        </w:rPr>
        <w:t>承诺人：</w:t>
      </w:r>
      <w:r>
        <w:rPr>
          <w:rFonts w:hint="eastAsia" w:ascii="宋体" w:hAnsi="宋体" w:cs="宋体"/>
          <w:kern w:val="0"/>
          <w:sz w:val="24"/>
          <w:szCs w:val="24"/>
          <w:u w:val="single"/>
        </w:rPr>
        <w:t>（盖单位章）</w:t>
      </w:r>
    </w:p>
    <w:p>
      <w:pPr>
        <w:adjustRightInd w:val="0"/>
        <w:snapToGrid w:val="0"/>
        <w:ind w:firstLine="2880" w:firstLineChars="1200"/>
        <w:rPr>
          <w:rFonts w:ascii="宋体" w:hAnsi="宋体"/>
          <w:sz w:val="24"/>
          <w:szCs w:val="24"/>
        </w:rPr>
      </w:pPr>
      <w:r>
        <w:rPr>
          <w:rFonts w:hint="eastAsia" w:ascii="宋体" w:hAnsi="宋体"/>
          <w:sz w:val="24"/>
          <w:szCs w:val="24"/>
        </w:rPr>
        <w:t>法定代表人或企业负责人：</w:t>
      </w:r>
      <w:r>
        <w:rPr>
          <w:rFonts w:hint="eastAsia" w:ascii="宋体" w:hAnsi="宋体"/>
          <w:sz w:val="24"/>
          <w:szCs w:val="24"/>
          <w:u w:val="single"/>
        </w:rPr>
        <w:t>（签字或个人印鉴章）</w:t>
      </w:r>
    </w:p>
    <w:p>
      <w:pPr>
        <w:widowControl/>
        <w:ind w:firstLine="5280" w:firstLineChars="2200"/>
        <w:jc w:val="left"/>
        <w:rPr>
          <w:rFonts w:ascii="宋体" w:hAnsi="宋体" w:cs="宋体"/>
          <w:kern w:val="0"/>
          <w:sz w:val="24"/>
          <w:szCs w:val="24"/>
        </w:rPr>
      </w:pPr>
    </w:p>
    <w:p>
      <w:pPr>
        <w:ind w:firstLine="5880" w:firstLineChars="2450"/>
        <w:jc w:val="left"/>
        <w:rPr>
          <w:rFonts w:ascii="宋体" w:hAnsi="宋体" w:cs="宋体"/>
          <w:kern w:val="0"/>
          <w:sz w:val="24"/>
          <w:szCs w:val="24"/>
        </w:rPr>
      </w:pPr>
      <w:r>
        <w:rPr>
          <w:rFonts w:hint="eastAsia" w:ascii="宋体" w:hAnsi="宋体" w:cs="宋体"/>
          <w:kern w:val="0"/>
          <w:sz w:val="24"/>
          <w:szCs w:val="24"/>
        </w:rPr>
        <w:t>年</w:t>
      </w:r>
      <w:r>
        <w:rPr>
          <w:rFonts w:ascii="宋体" w:hAnsi="宋体" w:cs="宋体"/>
          <w:kern w:val="0"/>
          <w:sz w:val="24"/>
          <w:szCs w:val="24"/>
        </w:rPr>
        <w:t> </w:t>
      </w:r>
      <w:r>
        <w:rPr>
          <w:rFonts w:hint="eastAsia" w:ascii="宋体" w:hAnsi="宋体" w:cs="宋体"/>
          <w:kern w:val="0"/>
          <w:sz w:val="24"/>
          <w:szCs w:val="24"/>
        </w:rPr>
        <w:t>月  日</w:t>
      </w:r>
    </w:p>
    <w:p>
      <w:pPr>
        <w:ind w:firstLine="480" w:firstLineChars="200"/>
        <w:rPr>
          <w:rFonts w:hint="eastAsia" w:ascii="宋体" w:hAnsi="宋体" w:eastAsia="宋体" w:cs="宋体"/>
          <w:sz w:val="24"/>
          <w:szCs w:val="24"/>
          <w:lang w:eastAsia="zh-CN"/>
        </w:rPr>
      </w:pPr>
    </w:p>
    <w:p>
      <w:pPr>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在建项目发包方出具的同意项目经理变更的证明</w:t>
      </w:r>
    </w:p>
    <w:p>
      <w:pPr>
        <w:ind w:firstLine="480" w:firstLineChars="200"/>
        <w:jc w:val="left"/>
        <w:rPr>
          <w:rFonts w:hint="eastAsia" w:ascii="宋体" w:hAnsi="宋体" w:eastAsia="宋体" w:cs="宋体"/>
          <w:sz w:val="24"/>
          <w:szCs w:val="24"/>
          <w:u w:val="none"/>
          <w:lang w:val="en-US" w:eastAsia="zh-CN"/>
        </w:rPr>
      </w:pPr>
      <w:r>
        <w:rPr>
          <w:rFonts w:hint="eastAsia" w:ascii="宋体" w:hAnsi="宋体" w:eastAsia="宋体" w:cs="宋体"/>
          <w:sz w:val="24"/>
          <w:szCs w:val="24"/>
          <w:lang w:eastAsia="zh-CN"/>
        </w:rPr>
        <w:t>我单位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项目，由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担任项目经理，目前该项目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□主体已完工，</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□已完成工程量超过</w:t>
      </w:r>
      <w:r>
        <w:rPr>
          <w:rFonts w:hint="eastAsia" w:ascii="宋体" w:hAnsi="宋体" w:eastAsia="宋体" w:cs="宋体"/>
          <w:sz w:val="24"/>
          <w:szCs w:val="24"/>
          <w:u w:val="single"/>
          <w:lang w:val="en-US" w:eastAsia="zh-CN"/>
        </w:rPr>
        <w:t xml:space="preserve">80%   </w:t>
      </w:r>
      <w:r>
        <w:rPr>
          <w:rFonts w:hint="eastAsia" w:ascii="宋体" w:hAnsi="宋体" w:eastAsia="宋体" w:cs="宋体"/>
          <w:sz w:val="24"/>
          <w:szCs w:val="24"/>
          <w:u w:val="none"/>
          <w:lang w:val="en-US" w:eastAsia="zh-CN"/>
        </w:rPr>
        <w:t>。若项目经理中标</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项目，我单位同意变更。</w:t>
      </w:r>
    </w:p>
    <w:p>
      <w:pPr>
        <w:ind w:firstLine="480" w:firstLineChars="200"/>
        <w:jc w:val="left"/>
        <w:rPr>
          <w:rFonts w:hint="eastAsia" w:ascii="宋体" w:hAnsi="宋体" w:eastAsia="宋体" w:cs="宋体"/>
          <w:sz w:val="24"/>
          <w:szCs w:val="24"/>
          <w:u w:val="none"/>
          <w:lang w:val="en-US" w:eastAsia="zh-CN"/>
        </w:rPr>
      </w:pPr>
    </w:p>
    <w:p>
      <w:pPr>
        <w:widowControl/>
        <w:ind w:firstLine="5280" w:firstLineChars="2200"/>
        <w:jc w:val="left"/>
        <w:rPr>
          <w:rFonts w:hint="eastAsia" w:ascii="宋体" w:hAnsi="宋体" w:cs="宋体"/>
          <w:kern w:val="0"/>
          <w:sz w:val="24"/>
          <w:szCs w:val="24"/>
        </w:rPr>
      </w:pPr>
      <w:r>
        <w:rPr>
          <w:rFonts w:hint="eastAsia" w:ascii="宋体" w:hAnsi="宋体" w:cs="宋体"/>
          <w:kern w:val="0"/>
          <w:sz w:val="24"/>
          <w:szCs w:val="24"/>
          <w:lang w:eastAsia="zh-CN"/>
        </w:rPr>
        <w:t>单位：</w:t>
      </w:r>
      <w:r>
        <w:rPr>
          <w:rFonts w:hint="eastAsia" w:ascii="宋体" w:hAnsi="宋体" w:cs="宋体"/>
          <w:kern w:val="0"/>
          <w:sz w:val="24"/>
          <w:szCs w:val="24"/>
          <w:u w:val="single"/>
        </w:rPr>
        <w:t>（盖单位章）</w:t>
      </w:r>
    </w:p>
    <w:p>
      <w:pPr>
        <w:adjustRightInd w:val="0"/>
        <w:snapToGrid w:val="0"/>
        <w:ind w:firstLine="2880" w:firstLineChars="1200"/>
        <w:rPr>
          <w:rFonts w:ascii="宋体" w:hAnsi="宋体"/>
          <w:sz w:val="24"/>
          <w:szCs w:val="24"/>
        </w:rPr>
      </w:pPr>
      <w:r>
        <w:rPr>
          <w:rFonts w:hint="eastAsia" w:ascii="宋体" w:hAnsi="宋体"/>
          <w:sz w:val="24"/>
          <w:szCs w:val="24"/>
        </w:rPr>
        <w:t>法定代表人或企业负责人：</w:t>
      </w:r>
      <w:r>
        <w:rPr>
          <w:rFonts w:hint="eastAsia" w:ascii="宋体" w:hAnsi="宋体"/>
          <w:sz w:val="24"/>
          <w:szCs w:val="24"/>
          <w:u w:val="single"/>
        </w:rPr>
        <w:t>（签字或个人印鉴章）</w:t>
      </w:r>
    </w:p>
    <w:p>
      <w:pPr>
        <w:widowControl/>
        <w:ind w:firstLine="5280" w:firstLineChars="2200"/>
        <w:jc w:val="left"/>
        <w:rPr>
          <w:rFonts w:ascii="宋体" w:hAnsi="宋体" w:cs="宋体"/>
          <w:kern w:val="0"/>
          <w:sz w:val="24"/>
          <w:szCs w:val="24"/>
        </w:rPr>
      </w:pPr>
    </w:p>
    <w:p>
      <w:pPr>
        <w:ind w:firstLine="5880" w:firstLineChars="2450"/>
        <w:jc w:val="left"/>
        <w:rPr>
          <w:rFonts w:ascii="宋体" w:hAnsi="宋体" w:cs="宋体"/>
          <w:kern w:val="0"/>
          <w:sz w:val="24"/>
          <w:szCs w:val="24"/>
        </w:rPr>
      </w:pPr>
      <w:r>
        <w:rPr>
          <w:rFonts w:hint="eastAsia" w:ascii="宋体" w:hAnsi="宋体" w:cs="宋体"/>
          <w:kern w:val="0"/>
          <w:sz w:val="24"/>
          <w:szCs w:val="24"/>
        </w:rPr>
        <w:t>年</w:t>
      </w:r>
      <w:r>
        <w:rPr>
          <w:rFonts w:ascii="宋体" w:hAnsi="宋体" w:cs="宋体"/>
          <w:kern w:val="0"/>
          <w:sz w:val="24"/>
          <w:szCs w:val="24"/>
        </w:rPr>
        <w:t> </w:t>
      </w:r>
      <w:r>
        <w:rPr>
          <w:rFonts w:hint="eastAsia" w:ascii="宋体" w:hAnsi="宋体" w:cs="宋体"/>
          <w:kern w:val="0"/>
          <w:sz w:val="24"/>
          <w:szCs w:val="24"/>
        </w:rPr>
        <w:t>月  日</w:t>
      </w:r>
    </w:p>
    <w:p>
      <w:pPr>
        <w:rPr>
          <w:rFonts w:hint="eastAsia" w:eastAsia="宋体"/>
          <w:lang w:val="en-US" w:eastAsia="zh-CN"/>
        </w:rPr>
      </w:pPr>
      <w:r>
        <w:rPr>
          <w:rFonts w:ascii="仿宋_GB2312" w:hAnsi="Courier New" w:eastAsia="仿宋_GB2312" w:cs="Courier New"/>
          <w:b/>
          <w:sz w:val="28"/>
          <w:szCs w:val="28"/>
        </w:rPr>
        <w:br w:type="page"/>
      </w:r>
    </w:p>
    <w:p>
      <w:pPr>
        <w:rPr>
          <w:rFonts w:hint="eastAsia" w:eastAsia="宋体"/>
          <w:lang w:val="en-US" w:eastAsia="zh-CN"/>
        </w:rPr>
      </w:pPr>
    </w:p>
    <w:bookmarkEnd w:id="596"/>
    <w:bookmarkEnd w:id="600"/>
    <w:p>
      <w:pPr>
        <w:pStyle w:val="60"/>
        <w:spacing w:beforeLines="20" w:afterLines="20" w:line="540" w:lineRule="exact"/>
        <w:ind w:firstLine="643" w:firstLineChars="200"/>
        <w:jc w:val="center"/>
        <w:rPr>
          <w:rFonts w:ascii="仿宋_GB2312" w:eastAsia="仿宋_GB2312"/>
          <w:b/>
          <w:bCs/>
          <w:sz w:val="32"/>
        </w:rPr>
      </w:pPr>
      <w:r>
        <w:rPr>
          <w:rFonts w:ascii="仿宋_GB2312" w:eastAsia="仿宋_GB2312"/>
          <w:b/>
          <w:bCs/>
          <w:sz w:val="32"/>
        </w:rPr>
        <w:br w:type="page"/>
      </w:r>
    </w:p>
    <w:p>
      <w:pPr>
        <w:pStyle w:val="2"/>
        <w:rPr>
          <w:rFonts w:ascii="仿宋_GB2312" w:hAnsi="宋体" w:eastAsia="仿宋_GB2312"/>
          <w:b/>
          <w:sz w:val="36"/>
          <w:szCs w:val="36"/>
        </w:rPr>
      </w:pPr>
      <w:bookmarkStart w:id="621" w:name="_Toc208106841"/>
      <w:bookmarkStart w:id="622" w:name="_Toc47451003"/>
      <w:r>
        <w:rPr>
          <w:rFonts w:hint="eastAsia" w:ascii="仿宋_GB2312" w:hAnsi="宋体" w:eastAsia="仿宋_GB2312"/>
          <w:b/>
          <w:sz w:val="36"/>
          <w:szCs w:val="36"/>
        </w:rPr>
        <w:t>第四章  工程技术经济要求</w:t>
      </w:r>
      <w:bookmarkEnd w:id="621"/>
      <w:bookmarkEnd w:id="622"/>
    </w:p>
    <w:p>
      <w:pPr>
        <w:ind w:right="-11"/>
        <w:jc w:val="center"/>
        <w:rPr>
          <w:rFonts w:ascii="仿宋" w:hAnsi="仿宋" w:eastAsia="仿宋"/>
          <w:color w:val="000000"/>
          <w:sz w:val="24"/>
        </w:rPr>
      </w:pPr>
      <w:r>
        <w:rPr>
          <w:rFonts w:hint="eastAsia" w:ascii="仿宋" w:hAnsi="仿宋" w:eastAsia="仿宋"/>
          <w:color w:val="000000"/>
          <w:sz w:val="24"/>
        </w:rPr>
        <w:t>详见施工图纸、相关规范</w:t>
      </w:r>
    </w:p>
    <w:p>
      <w:pPr>
        <w:pStyle w:val="60"/>
        <w:spacing w:beforeLines="20" w:afterLines="20" w:line="540" w:lineRule="exact"/>
        <w:ind w:right="642"/>
        <w:jc w:val="right"/>
        <w:rPr>
          <w:rFonts w:ascii="仿宋_GB2312" w:eastAsia="仿宋_GB2312"/>
          <w:b/>
          <w:bCs/>
          <w:sz w:val="32"/>
        </w:rPr>
      </w:pPr>
    </w:p>
    <w:p>
      <w:pPr>
        <w:pStyle w:val="60"/>
        <w:spacing w:beforeLines="20" w:afterLines="20" w:line="540" w:lineRule="exact"/>
        <w:jc w:val="center"/>
        <w:rPr>
          <w:rFonts w:ascii="仿宋_GB2312" w:eastAsia="仿宋_GB2312"/>
          <w:b/>
          <w:bCs/>
          <w:sz w:val="32"/>
        </w:rPr>
      </w:pPr>
    </w:p>
    <w:p>
      <w:pPr>
        <w:pStyle w:val="2"/>
        <w:rPr>
          <w:rFonts w:ascii="仿宋_GB2312" w:hAnsi="宋体" w:eastAsia="仿宋_GB2312"/>
          <w:b/>
          <w:sz w:val="36"/>
          <w:szCs w:val="36"/>
        </w:rPr>
      </w:pPr>
      <w:bookmarkStart w:id="623" w:name="_Toc47451004"/>
      <w:bookmarkStart w:id="624" w:name="_Toc208106842"/>
      <w:r>
        <w:rPr>
          <w:rFonts w:hint="eastAsia" w:ascii="仿宋_GB2312" w:hAnsi="宋体" w:eastAsia="仿宋_GB2312"/>
          <w:b/>
          <w:sz w:val="36"/>
          <w:szCs w:val="36"/>
        </w:rPr>
        <w:t>第五章  施工图设计文件</w:t>
      </w:r>
      <w:bookmarkEnd w:id="623"/>
      <w:bookmarkEnd w:id="624"/>
    </w:p>
    <w:p>
      <w:pPr>
        <w:pStyle w:val="60"/>
        <w:spacing w:beforeLines="20" w:afterLines="20" w:line="540" w:lineRule="exact"/>
        <w:ind w:firstLine="560" w:firstLineChars="200"/>
        <w:rPr>
          <w:rFonts w:ascii="仿宋_GB2312" w:eastAsia="仿宋_GB2312"/>
          <w:sz w:val="28"/>
        </w:rPr>
      </w:pPr>
      <w:r>
        <w:rPr>
          <w:rFonts w:hint="eastAsia" w:ascii="仿宋_GB2312" w:eastAsia="仿宋_GB2312"/>
          <w:sz w:val="28"/>
        </w:rPr>
        <w:t>1</w:t>
      </w:r>
      <w:r>
        <w:rPr>
          <w:rFonts w:hint="eastAsia" w:ascii="仿宋_GB2312" w:hAnsi="宋体" w:eastAsia="仿宋_GB2312"/>
          <w:sz w:val="28"/>
        </w:rPr>
        <w:t>、图纸清单：详见招标人提供的施工图。</w:t>
      </w:r>
    </w:p>
    <w:p>
      <w:pPr>
        <w:pStyle w:val="60"/>
        <w:spacing w:beforeLines="20" w:afterLines="20" w:line="540" w:lineRule="exact"/>
        <w:ind w:firstLine="560" w:firstLineChars="200"/>
        <w:rPr>
          <w:rFonts w:ascii="仿宋_GB2312" w:eastAsia="仿宋_GB2312"/>
          <w:sz w:val="28"/>
        </w:rPr>
      </w:pPr>
      <w:r>
        <w:rPr>
          <w:rFonts w:hint="eastAsia" w:ascii="仿宋_GB2312" w:eastAsia="仿宋_GB2312"/>
          <w:sz w:val="28"/>
        </w:rPr>
        <w:t>2</w:t>
      </w:r>
      <w:r>
        <w:rPr>
          <w:rFonts w:hint="eastAsia" w:ascii="仿宋_GB2312" w:hAnsi="宋体" w:eastAsia="仿宋_GB2312"/>
          <w:sz w:val="28"/>
        </w:rPr>
        <w:t>、工程技术规范清单：详见招标人提供的施工图中所列。</w:t>
      </w:r>
    </w:p>
    <w:p>
      <w:pPr>
        <w:pStyle w:val="60"/>
        <w:spacing w:beforeLines="20" w:afterLines="20" w:line="540" w:lineRule="exact"/>
        <w:ind w:firstLine="585" w:firstLineChars="209"/>
        <w:rPr>
          <w:rFonts w:ascii="仿宋_GB2312" w:eastAsia="仿宋_GB2312"/>
          <w:b/>
          <w:bCs/>
          <w:sz w:val="32"/>
        </w:rPr>
      </w:pPr>
      <w:r>
        <w:rPr>
          <w:rFonts w:hint="eastAsia" w:ascii="仿宋_GB2312" w:eastAsia="仿宋_GB2312"/>
          <w:sz w:val="28"/>
        </w:rPr>
        <w:t>3</w:t>
      </w:r>
      <w:r>
        <w:rPr>
          <w:rFonts w:hint="eastAsia" w:ascii="仿宋_GB2312" w:hAnsi="宋体" w:eastAsia="仿宋_GB2312"/>
          <w:sz w:val="28"/>
        </w:rPr>
        <w:t>、标准图集清单：详见招标人提供的施工图中所列。</w:t>
      </w:r>
    </w:p>
    <w:p>
      <w:pPr>
        <w:pStyle w:val="60"/>
        <w:spacing w:beforeLines="20" w:afterLines="20" w:line="540" w:lineRule="exact"/>
        <w:rPr>
          <w:rFonts w:ascii="仿宋_GB2312" w:eastAsia="仿宋_GB2312"/>
          <w:b/>
          <w:bCs/>
          <w:sz w:val="32"/>
        </w:rPr>
      </w:pPr>
    </w:p>
    <w:p>
      <w:pPr>
        <w:pStyle w:val="60"/>
        <w:spacing w:beforeLines="20" w:afterLines="20" w:line="540" w:lineRule="exact"/>
        <w:ind w:firstLine="643" w:firstLineChars="200"/>
        <w:jc w:val="center"/>
        <w:rPr>
          <w:rFonts w:ascii="仿宋_GB2312" w:eastAsia="仿宋_GB2312"/>
          <w:b/>
          <w:bCs/>
          <w:sz w:val="32"/>
        </w:rPr>
      </w:pPr>
    </w:p>
    <w:p>
      <w:pPr>
        <w:pStyle w:val="2"/>
        <w:rPr>
          <w:rFonts w:ascii="仿宋_GB2312" w:hAnsi="宋体" w:eastAsia="仿宋_GB2312"/>
          <w:b/>
          <w:sz w:val="36"/>
          <w:szCs w:val="36"/>
        </w:rPr>
      </w:pPr>
      <w:bookmarkStart w:id="625" w:name="_Toc208106843"/>
      <w:bookmarkStart w:id="626" w:name="_Toc47451005"/>
      <w:r>
        <w:rPr>
          <w:rFonts w:hint="eastAsia" w:ascii="仿宋_GB2312" w:hAnsi="宋体" w:eastAsia="仿宋_GB2312"/>
          <w:b/>
          <w:sz w:val="36"/>
          <w:szCs w:val="36"/>
        </w:rPr>
        <w:t>第六章  工程量清单及光盘（另附）</w:t>
      </w:r>
      <w:bookmarkEnd w:id="625"/>
      <w:bookmarkEnd w:id="626"/>
    </w:p>
    <w:p>
      <w:pPr>
        <w:pStyle w:val="60"/>
        <w:spacing w:beforeLines="20" w:afterLines="20" w:line="540" w:lineRule="exact"/>
        <w:ind w:firstLine="2891" w:firstLineChars="900"/>
        <w:rPr>
          <w:rFonts w:ascii="仿宋_GB2312" w:eastAsia="仿宋_GB2312"/>
          <w:b/>
          <w:bCs/>
          <w:sz w:val="32"/>
        </w:rPr>
      </w:pPr>
    </w:p>
    <w:p>
      <w:pPr>
        <w:pStyle w:val="2"/>
        <w:rPr>
          <w:rFonts w:ascii="仿宋_GB2312" w:hAnsi="宋体" w:eastAsia="仿宋_GB2312"/>
          <w:b/>
          <w:sz w:val="36"/>
          <w:szCs w:val="36"/>
        </w:rPr>
      </w:pPr>
      <w:bookmarkStart w:id="627" w:name="_Toc208106844"/>
      <w:bookmarkStart w:id="628" w:name="_Toc47451006"/>
      <w:r>
        <w:rPr>
          <w:rFonts w:hint="eastAsia" w:ascii="仿宋_GB2312" w:hAnsi="宋体" w:eastAsia="仿宋_GB2312"/>
          <w:b/>
          <w:sz w:val="36"/>
          <w:szCs w:val="36"/>
        </w:rPr>
        <w:t>第七章  招标文件的答疑及补充（另附）</w:t>
      </w:r>
      <w:bookmarkEnd w:id="627"/>
      <w:bookmarkEnd w:id="628"/>
    </w:p>
    <w:p/>
    <w:p>
      <w:pPr>
        <w:pStyle w:val="2"/>
        <w:rPr>
          <w:rFonts w:ascii="仿宋_GB2312" w:hAnsi="宋体" w:eastAsia="仿宋_GB2312"/>
          <w:b/>
          <w:sz w:val="36"/>
          <w:szCs w:val="36"/>
        </w:rPr>
      </w:pPr>
      <w:bookmarkStart w:id="629" w:name="_Toc208106845"/>
      <w:bookmarkStart w:id="630" w:name="_Toc47451007"/>
      <w:r>
        <w:rPr>
          <w:rFonts w:hint="eastAsia" w:ascii="仿宋_GB2312" w:hAnsi="宋体" w:eastAsia="仿宋_GB2312"/>
          <w:b/>
          <w:sz w:val="36"/>
          <w:szCs w:val="36"/>
        </w:rPr>
        <w:t>第八章  其他资料</w:t>
      </w:r>
      <w:bookmarkEnd w:id="629"/>
      <w:bookmarkEnd w:id="630"/>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pStyle w:val="60"/>
        <w:spacing w:beforeLines="20" w:afterLines="20" w:line="540" w:lineRule="exact"/>
        <w:rPr>
          <w:rFonts w:ascii="仿宋_GB2312" w:eastAsia="仿宋_GB2312"/>
          <w:b/>
          <w:bCs/>
          <w:sz w:val="30"/>
        </w:rPr>
        <w:sectPr>
          <w:pgSz w:w="11907" w:h="16840"/>
          <w:pgMar w:top="1298" w:right="1077" w:bottom="1060" w:left="1077" w:header="851" w:footer="737" w:gutter="0"/>
          <w:cols w:space="720" w:num="1"/>
          <w:docGrid w:type="lines" w:linePitch="476" w:charSpace="0"/>
        </w:sectPr>
      </w:pPr>
    </w:p>
    <w:p>
      <w:pPr>
        <w:pStyle w:val="60"/>
        <w:spacing w:beforeLines="20" w:afterLines="20" w:line="540" w:lineRule="exact"/>
        <w:rPr>
          <w:rFonts w:ascii="仿宋_GB2312" w:eastAsia="仿宋_GB2312"/>
        </w:rPr>
        <w:sectPr>
          <w:pgSz w:w="11907" w:h="16840"/>
          <w:pgMar w:top="1298" w:right="1077" w:bottom="1060" w:left="1077" w:header="851" w:footer="737" w:gutter="0"/>
          <w:cols w:space="720" w:num="1"/>
          <w:docGrid w:type="lines" w:linePitch="476" w:charSpace="0"/>
        </w:sectPr>
      </w:pPr>
      <w:bookmarkStart w:id="631" w:name="_Toc208106846"/>
    </w:p>
    <w:p/>
    <w:p>
      <w:pPr>
        <w:pStyle w:val="2"/>
        <w:rPr>
          <w:rFonts w:ascii="仿宋_GB2312" w:hAnsi="宋体" w:eastAsia="仿宋_GB2312"/>
          <w:b/>
          <w:sz w:val="36"/>
          <w:szCs w:val="36"/>
        </w:rPr>
      </w:pPr>
      <w:bookmarkStart w:id="632" w:name="_Toc47451008"/>
      <w:bookmarkStart w:id="633" w:name="_Toc433102328"/>
      <w:r>
        <w:rPr>
          <w:rFonts w:hint="eastAsia" w:ascii="仿宋_GB2312" w:hAnsi="宋体" w:eastAsia="仿宋_GB2312"/>
          <w:b/>
          <w:sz w:val="36"/>
          <w:szCs w:val="36"/>
        </w:rPr>
        <w:t>第九章 投标人不良信用记录查询情况表</w:t>
      </w:r>
      <w:bookmarkEnd w:id="632"/>
      <w:bookmarkEnd w:id="633"/>
    </w:p>
    <w:p/>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3162"/>
        <w:gridCol w:w="1518"/>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shd w:val="clear" w:color="auto" w:fill="auto"/>
            <w:vAlign w:val="center"/>
          </w:tcPr>
          <w:p>
            <w:pPr>
              <w:jc w:val="center"/>
              <w:rPr>
                <w:sz w:val="24"/>
              </w:rPr>
            </w:pPr>
            <w:r>
              <w:rPr>
                <w:rFonts w:hint="eastAsia"/>
                <w:sz w:val="24"/>
              </w:rPr>
              <w:t>项目名称</w:t>
            </w:r>
          </w:p>
        </w:tc>
        <w:tc>
          <w:tcPr>
            <w:tcW w:w="3162" w:type="dxa"/>
            <w:shd w:val="clear" w:color="auto" w:fill="auto"/>
            <w:vAlign w:val="center"/>
          </w:tcPr>
          <w:p>
            <w:pPr>
              <w:jc w:val="center"/>
              <w:rPr>
                <w:sz w:val="24"/>
              </w:rPr>
            </w:pPr>
          </w:p>
        </w:tc>
        <w:tc>
          <w:tcPr>
            <w:tcW w:w="1518" w:type="dxa"/>
            <w:shd w:val="clear" w:color="auto" w:fill="auto"/>
            <w:vAlign w:val="center"/>
          </w:tcPr>
          <w:p>
            <w:pPr>
              <w:jc w:val="center"/>
              <w:rPr>
                <w:sz w:val="24"/>
              </w:rPr>
            </w:pPr>
            <w:r>
              <w:rPr>
                <w:rFonts w:hint="eastAsia"/>
                <w:sz w:val="24"/>
              </w:rPr>
              <w:t>项目编号</w:t>
            </w:r>
          </w:p>
        </w:tc>
        <w:tc>
          <w:tcPr>
            <w:tcW w:w="2520" w:type="dxa"/>
            <w:shd w:val="clear" w:color="auto" w:fill="auto"/>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shd w:val="clear" w:color="auto" w:fill="auto"/>
            <w:vAlign w:val="center"/>
          </w:tcPr>
          <w:p>
            <w:pPr>
              <w:jc w:val="center"/>
              <w:rPr>
                <w:sz w:val="24"/>
              </w:rPr>
            </w:pPr>
            <w:r>
              <w:rPr>
                <w:rFonts w:hint="eastAsia"/>
                <w:sz w:val="24"/>
              </w:rPr>
              <w:t>招标单位</w:t>
            </w:r>
          </w:p>
        </w:tc>
        <w:tc>
          <w:tcPr>
            <w:tcW w:w="3162" w:type="dxa"/>
            <w:shd w:val="clear" w:color="auto" w:fill="auto"/>
            <w:vAlign w:val="center"/>
          </w:tcPr>
          <w:p>
            <w:pPr>
              <w:jc w:val="center"/>
              <w:rPr>
                <w:sz w:val="24"/>
              </w:rPr>
            </w:pPr>
          </w:p>
        </w:tc>
        <w:tc>
          <w:tcPr>
            <w:tcW w:w="1518" w:type="dxa"/>
            <w:shd w:val="clear" w:color="auto" w:fill="auto"/>
            <w:vAlign w:val="center"/>
          </w:tcPr>
          <w:p>
            <w:pPr>
              <w:jc w:val="center"/>
              <w:rPr>
                <w:sz w:val="24"/>
              </w:rPr>
            </w:pPr>
            <w:r>
              <w:rPr>
                <w:rFonts w:hint="eastAsia"/>
                <w:sz w:val="24"/>
              </w:rPr>
              <w:t>开标日期</w:t>
            </w:r>
          </w:p>
        </w:tc>
        <w:tc>
          <w:tcPr>
            <w:tcW w:w="2520" w:type="dxa"/>
            <w:shd w:val="clear" w:color="auto" w:fill="auto"/>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shd w:val="clear" w:color="auto" w:fill="auto"/>
            <w:vAlign w:val="center"/>
          </w:tcPr>
          <w:p>
            <w:pPr>
              <w:jc w:val="center"/>
              <w:rPr>
                <w:sz w:val="24"/>
              </w:rPr>
            </w:pPr>
            <w:r>
              <w:rPr>
                <w:rFonts w:hint="eastAsia"/>
                <w:sz w:val="24"/>
              </w:rPr>
              <w:t>标段（包号）</w:t>
            </w:r>
          </w:p>
        </w:tc>
        <w:tc>
          <w:tcPr>
            <w:tcW w:w="3162" w:type="dxa"/>
            <w:shd w:val="clear" w:color="auto" w:fill="auto"/>
            <w:vAlign w:val="center"/>
          </w:tcPr>
          <w:p>
            <w:pPr>
              <w:jc w:val="center"/>
              <w:rPr>
                <w:sz w:val="24"/>
              </w:rPr>
            </w:pPr>
          </w:p>
        </w:tc>
        <w:tc>
          <w:tcPr>
            <w:tcW w:w="1518" w:type="dxa"/>
            <w:shd w:val="clear" w:color="auto" w:fill="auto"/>
            <w:vAlign w:val="center"/>
          </w:tcPr>
          <w:p>
            <w:pPr>
              <w:jc w:val="center"/>
              <w:rPr>
                <w:sz w:val="24"/>
              </w:rPr>
            </w:pPr>
            <w:r>
              <w:rPr>
                <w:rFonts w:hint="eastAsia"/>
                <w:sz w:val="24"/>
              </w:rPr>
              <w:t>预算/控制价</w:t>
            </w:r>
          </w:p>
          <w:p>
            <w:pPr>
              <w:jc w:val="center"/>
              <w:rPr>
                <w:sz w:val="24"/>
              </w:rPr>
            </w:pPr>
            <w:r>
              <w:rPr>
                <w:rFonts w:hint="eastAsia"/>
                <w:sz w:val="24"/>
              </w:rPr>
              <w:t>（万元）</w:t>
            </w:r>
          </w:p>
        </w:tc>
        <w:tc>
          <w:tcPr>
            <w:tcW w:w="2520" w:type="dxa"/>
            <w:shd w:val="clear" w:color="auto" w:fill="auto"/>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shd w:val="clear" w:color="auto" w:fill="auto"/>
            <w:vAlign w:val="center"/>
          </w:tcPr>
          <w:p>
            <w:pPr>
              <w:jc w:val="center"/>
              <w:rPr>
                <w:sz w:val="24"/>
              </w:rPr>
            </w:pPr>
            <w:r>
              <w:rPr>
                <w:rFonts w:hint="eastAsia"/>
                <w:sz w:val="24"/>
              </w:rPr>
              <w:t>投标单位</w:t>
            </w:r>
          </w:p>
        </w:tc>
        <w:tc>
          <w:tcPr>
            <w:tcW w:w="3162" w:type="dxa"/>
            <w:shd w:val="clear" w:color="auto" w:fill="auto"/>
            <w:vAlign w:val="center"/>
          </w:tcPr>
          <w:p>
            <w:pPr>
              <w:jc w:val="center"/>
              <w:rPr>
                <w:sz w:val="24"/>
              </w:rPr>
            </w:pPr>
          </w:p>
        </w:tc>
        <w:tc>
          <w:tcPr>
            <w:tcW w:w="1518" w:type="dxa"/>
            <w:shd w:val="clear" w:color="auto" w:fill="auto"/>
            <w:vAlign w:val="center"/>
          </w:tcPr>
          <w:p>
            <w:pPr>
              <w:jc w:val="center"/>
              <w:rPr>
                <w:sz w:val="24"/>
              </w:rPr>
            </w:pPr>
            <w:r>
              <w:rPr>
                <w:rFonts w:hint="eastAsia"/>
                <w:sz w:val="24"/>
              </w:rPr>
              <w:t>项目责任人</w:t>
            </w:r>
          </w:p>
        </w:tc>
        <w:tc>
          <w:tcPr>
            <w:tcW w:w="2520" w:type="dxa"/>
            <w:shd w:val="clear" w:color="auto" w:fill="auto"/>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trPr>
        <w:tc>
          <w:tcPr>
            <w:tcW w:w="1908" w:type="dxa"/>
            <w:shd w:val="clear" w:color="auto" w:fill="auto"/>
            <w:vAlign w:val="center"/>
          </w:tcPr>
          <w:p>
            <w:pPr>
              <w:jc w:val="center"/>
              <w:rPr>
                <w:sz w:val="24"/>
              </w:rPr>
            </w:pPr>
            <w:r>
              <w:rPr>
                <w:rFonts w:hint="eastAsia"/>
                <w:sz w:val="24"/>
              </w:rPr>
              <w:t>不良信用记</w:t>
            </w:r>
          </w:p>
          <w:p>
            <w:pPr>
              <w:jc w:val="center"/>
              <w:rPr>
                <w:sz w:val="24"/>
              </w:rPr>
            </w:pPr>
            <w:r>
              <w:rPr>
                <w:rFonts w:hint="eastAsia"/>
                <w:sz w:val="24"/>
              </w:rPr>
              <w:t>录查询情况</w:t>
            </w:r>
          </w:p>
        </w:tc>
        <w:tc>
          <w:tcPr>
            <w:tcW w:w="7200" w:type="dxa"/>
            <w:gridSpan w:val="3"/>
            <w:shd w:val="clear" w:color="auto" w:fill="auto"/>
            <w:vAlign w:val="center"/>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trPr>
        <w:tc>
          <w:tcPr>
            <w:tcW w:w="1908" w:type="dxa"/>
            <w:shd w:val="clear" w:color="auto" w:fill="auto"/>
            <w:vAlign w:val="center"/>
          </w:tcPr>
          <w:p>
            <w:pPr>
              <w:jc w:val="center"/>
              <w:rPr>
                <w:sz w:val="24"/>
              </w:rPr>
            </w:pPr>
            <w:r>
              <w:rPr>
                <w:rFonts w:hint="eastAsia"/>
                <w:sz w:val="24"/>
              </w:rPr>
              <w:t>处理结果</w:t>
            </w:r>
          </w:p>
        </w:tc>
        <w:tc>
          <w:tcPr>
            <w:tcW w:w="7200" w:type="dxa"/>
            <w:gridSpan w:val="3"/>
            <w:shd w:val="clear" w:color="auto" w:fill="auto"/>
            <w:vAlign w:val="center"/>
          </w:tcPr>
          <w:p>
            <w:pPr>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shd w:val="clear" w:color="auto" w:fill="auto"/>
            <w:vAlign w:val="center"/>
          </w:tcPr>
          <w:p>
            <w:pPr>
              <w:jc w:val="center"/>
              <w:rPr>
                <w:sz w:val="24"/>
              </w:rPr>
            </w:pPr>
            <w:r>
              <w:rPr>
                <w:rFonts w:hint="eastAsia"/>
                <w:sz w:val="24"/>
              </w:rPr>
              <w:t>评标委员签字</w:t>
            </w:r>
          </w:p>
        </w:tc>
        <w:tc>
          <w:tcPr>
            <w:tcW w:w="7200" w:type="dxa"/>
            <w:gridSpan w:val="3"/>
            <w:shd w:val="clear" w:color="auto" w:fill="auto"/>
            <w:vAlign w:val="center"/>
          </w:tcPr>
          <w:p>
            <w:pPr>
              <w:rPr>
                <w:sz w:val="24"/>
                <w:u w:val="single"/>
              </w:rPr>
            </w:pPr>
          </w:p>
        </w:tc>
      </w:tr>
    </w:tbl>
    <w:p/>
    <w:p>
      <w:pPr>
        <w:pStyle w:val="2"/>
        <w:rPr>
          <w:b/>
          <w:sz w:val="36"/>
          <w:szCs w:val="36"/>
        </w:rPr>
      </w:pPr>
      <w:r>
        <w:br w:type="page"/>
      </w:r>
    </w:p>
    <w:p>
      <w:pPr>
        <w:rPr>
          <w:rFonts w:ascii="仿宋_GB2312" w:eastAsia="仿宋_GB2312"/>
        </w:rPr>
        <w:sectPr>
          <w:pgSz w:w="11907" w:h="16840"/>
          <w:pgMar w:top="1298" w:right="1077" w:bottom="1060" w:left="1077" w:header="851" w:footer="737" w:gutter="0"/>
          <w:cols w:space="720" w:num="1"/>
          <w:docGrid w:type="lines" w:linePitch="476" w:charSpace="0"/>
        </w:sectPr>
      </w:pPr>
    </w:p>
    <w:p>
      <w:pPr>
        <w:pStyle w:val="2"/>
        <w:rPr>
          <w:rFonts w:ascii="仿宋_GB2312" w:hAnsi="宋体" w:eastAsia="仿宋_GB2312"/>
          <w:b/>
          <w:sz w:val="24"/>
          <w:szCs w:val="24"/>
        </w:rPr>
      </w:pPr>
      <w:bookmarkStart w:id="634" w:name="_Toc382408424"/>
      <w:bookmarkStart w:id="635" w:name="_Toc373249782"/>
      <w:bookmarkStart w:id="636" w:name="_Toc47451009"/>
      <w:bookmarkStart w:id="637" w:name="_Toc403567213"/>
      <w:r>
        <w:rPr>
          <w:rFonts w:hint="eastAsia" w:ascii="仿宋_GB2312" w:hAnsi="宋体" w:eastAsia="仿宋_GB2312"/>
          <w:b/>
          <w:sz w:val="36"/>
          <w:szCs w:val="36"/>
        </w:rPr>
        <w:t>第十章安徽蚌埠公共资源交易服务网上招投标操作规程（暂行）</w:t>
      </w:r>
      <w:bookmarkEnd w:id="634"/>
      <w:bookmarkEnd w:id="635"/>
      <w:bookmarkEnd w:id="636"/>
      <w:bookmarkEnd w:id="637"/>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w:t>
      </w:r>
      <w:r>
        <w:rPr>
          <w:rFonts w:hint="eastAsia" w:ascii="仿宋_GB2312" w:eastAsia="仿宋_GB2312"/>
          <w:color w:val="000000"/>
          <w:kern w:val="0"/>
          <w:sz w:val="24"/>
        </w:rPr>
        <w:t xml:space="preserve"> </w:t>
      </w:r>
      <w:r>
        <w:rPr>
          <w:rFonts w:ascii="仿宋_GB2312" w:eastAsia="仿宋_GB2312"/>
          <w:color w:val="000000"/>
          <w:kern w:val="0"/>
          <w:sz w:val="24"/>
        </w:rPr>
        <w:t> 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（一）项目暂停，项目资料封存，待网上招投标系统或网络故障排除并经过可靠测试后，再恢复网上招投标系统运行并重新在系统中实施暂停的项目；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adjustRightInd w:val="0"/>
        <w:spacing w:line="280" w:lineRule="exact"/>
        <w:rPr>
          <w:rFonts w:ascii="仿宋_GB2312" w:eastAsia="仿宋_GB2312"/>
          <w:color w:val="000000"/>
          <w:kern w:val="0"/>
          <w:sz w:val="24"/>
        </w:r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20年</w:t>
      </w:r>
      <w:r>
        <w:rPr>
          <w:rFonts w:ascii="仿宋_GB2312" w:eastAsia="仿宋_GB2312"/>
          <w:color w:val="000000"/>
          <w:kern w:val="0"/>
          <w:sz w:val="24"/>
        </w:rPr>
        <w:t xml:space="preserve"> </w:t>
      </w:r>
      <w:r>
        <w:rPr>
          <w:rFonts w:hint="eastAsia" w:ascii="仿宋_GB2312" w:eastAsia="仿宋_GB2312"/>
          <w:color w:val="000000"/>
          <w:kern w:val="0"/>
          <w:sz w:val="24"/>
        </w:rPr>
        <w:t>7</w:t>
      </w:r>
      <w:r>
        <w:rPr>
          <w:rFonts w:ascii="仿宋_GB2312" w:eastAsia="仿宋_GB2312"/>
          <w:color w:val="000000"/>
          <w:kern w:val="0"/>
          <w:sz w:val="24"/>
        </w:rPr>
        <w:t xml:space="preserve"> </w:t>
      </w:r>
      <w:r>
        <w:rPr>
          <w:rFonts w:hint="eastAsia" w:ascii="仿宋_GB2312" w:eastAsia="仿宋_GB2312"/>
          <w:color w:val="000000"/>
          <w:kern w:val="0"/>
          <w:sz w:val="24"/>
        </w:rPr>
        <w:t>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p>
      <w:pPr>
        <w:pStyle w:val="3"/>
        <w:spacing w:before="100" w:beforeAutospacing="1" w:after="100" w:afterAutospacing="1" w:line="360" w:lineRule="exact"/>
        <w:jc w:val="both"/>
        <w:rPr>
          <w:rFonts w:ascii="仿宋_GB2312" w:hAnsi="宋体" w:eastAsia="仿宋_GB2312"/>
          <w:b w:val="0"/>
          <w:bCs/>
          <w:sz w:val="32"/>
        </w:rPr>
        <w:sectPr>
          <w:pgSz w:w="11907" w:h="16840"/>
          <w:pgMar w:top="1298" w:right="1077" w:bottom="1060" w:left="1077" w:header="851" w:footer="737" w:gutter="0"/>
          <w:cols w:space="720" w:num="1"/>
          <w:docGrid w:type="lines" w:linePitch="476" w:charSpace="0"/>
        </w:sectPr>
      </w:pPr>
      <w:permStart w:id="99" w:edGrp="everyone"/>
      <w:permEnd w:id="99"/>
    </w:p>
    <w:bookmarkEnd w:id="631"/>
    <w:p>
      <w:pPr>
        <w:pStyle w:val="19"/>
        <w:ind w:left="0" w:leftChars="0"/>
        <w:rPr>
          <w:rFonts w:ascii="仿宋_GB2312" w:hAnsi="宋体" w:eastAsia="仿宋_GB2312"/>
          <w:b/>
          <w:sz w:val="36"/>
          <w:szCs w:val="36"/>
        </w:rPr>
      </w:pPr>
    </w:p>
    <w:p>
      <w:pPr>
        <w:pStyle w:val="19"/>
        <w:ind w:left="0" w:leftChars="0"/>
        <w:jc w:val="center"/>
        <w:rPr>
          <w:rFonts w:ascii="仿宋_GB2312" w:hAnsi="宋体" w:eastAsia="仿宋_GB2312"/>
          <w:b/>
          <w:sz w:val="36"/>
          <w:szCs w:val="36"/>
        </w:rPr>
      </w:pPr>
      <w:r>
        <w:rPr>
          <w:rFonts w:hint="eastAsia" w:ascii="仿宋_GB2312" w:hAnsi="宋体" w:eastAsia="仿宋_GB2312"/>
          <w:b/>
          <w:sz w:val="36"/>
          <w:szCs w:val="36"/>
        </w:rPr>
        <w:t>会签记录表</w:t>
      </w:r>
    </w:p>
    <w:tbl>
      <w:tblPr>
        <w:tblStyle w:val="49"/>
        <w:tblW w:w="97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19"/>
              <w:ind w:left="0" w:leftChars="0" w:firstLine="480" w:firstLineChars="200"/>
              <w:rPr>
                <w:rFonts w:ascii="仿宋_GB2312" w:hAnsi="宋体" w:eastAsia="仿宋_GB2312"/>
                <w:sz w:val="24"/>
              </w:rPr>
            </w:pPr>
            <w:r>
              <w:rPr>
                <w:rFonts w:hint="eastAsia" w:ascii="仿宋_GB2312" w:hAnsi="宋体" w:eastAsia="仿宋_GB2312"/>
                <w:sz w:val="24"/>
              </w:rPr>
              <w:t>我单位对本次招标的工程施工招标工作及本工程施工招标文件予以确认。</w:t>
            </w:r>
          </w:p>
          <w:p>
            <w:pPr>
              <w:pStyle w:val="19"/>
              <w:ind w:firstLine="480"/>
              <w:rPr>
                <w:rFonts w:ascii="仿宋_GB2312" w:hAnsi="宋体" w:eastAsia="仿宋_GB2312"/>
                <w:sz w:val="24"/>
              </w:rPr>
            </w:pPr>
            <w:r>
              <w:rPr>
                <w:rFonts w:hint="eastAsia" w:ascii="仿宋_GB2312" w:hAnsi="宋体" w:eastAsia="仿宋_GB2312"/>
                <w:sz w:val="24"/>
              </w:rPr>
              <w:t>招标人：</w:t>
            </w:r>
          </w:p>
          <w:p>
            <w:pPr>
              <w:pStyle w:val="19"/>
              <w:ind w:firstLine="480"/>
              <w:rPr>
                <w:rFonts w:ascii="仿宋_GB2312" w:hAnsi="宋体" w:eastAsia="仿宋_GB2312"/>
                <w:sz w:val="24"/>
              </w:rPr>
            </w:pPr>
            <w:r>
              <w:rPr>
                <w:rFonts w:hint="eastAsia" w:ascii="仿宋_GB2312" w:hAnsi="宋体" w:eastAsia="仿宋_GB2312"/>
                <w:sz w:val="24"/>
              </w:rPr>
              <w:t>经办人：</w:t>
            </w:r>
          </w:p>
          <w:p>
            <w:pPr>
              <w:spacing w:line="360" w:lineRule="auto"/>
              <w:ind w:firstLine="840" w:firstLineChars="350"/>
              <w:rPr>
                <w:rFonts w:ascii="仿宋_GB2312" w:hAnsi="宋体" w:eastAsia="仿宋_GB2312"/>
                <w:sz w:val="24"/>
              </w:rPr>
            </w:pPr>
            <w:r>
              <w:rPr>
                <w:rFonts w:hint="eastAsia" w:ascii="仿宋_GB2312" w:hAnsi="宋体" w:eastAsia="仿宋_GB2312"/>
                <w:sz w:val="24"/>
              </w:rPr>
              <w:t>联系电话：</w:t>
            </w:r>
          </w:p>
          <w:p>
            <w:pPr>
              <w:pStyle w:val="19"/>
              <w:ind w:firstLine="6480" w:firstLineChars="2700"/>
              <w:rPr>
                <w:rFonts w:ascii="仿宋_GB2312" w:hAnsi="宋体" w:eastAsia="仿宋_GB2312"/>
                <w:sz w:val="24"/>
              </w:rPr>
            </w:pPr>
            <w:r>
              <w:rPr>
                <w:rFonts w:hint="eastAsia" w:ascii="仿宋_GB2312" w:hAnsi="宋体" w:eastAsia="仿宋_GB2312"/>
                <w:sz w:val="24"/>
              </w:rPr>
              <w:t>（单位盖章）</w:t>
            </w:r>
          </w:p>
          <w:p>
            <w:pPr>
              <w:pStyle w:val="19"/>
              <w:ind w:firstLine="6480" w:firstLineChars="2700"/>
              <w:rPr>
                <w:rFonts w:ascii="仿宋_GB2312" w:hAnsi="宋体" w:eastAsia="仿宋_GB2312"/>
                <w:sz w:val="24"/>
              </w:rPr>
            </w:pPr>
            <w:r>
              <w:rPr>
                <w:rFonts w:hint="eastAsia" w:ascii="仿宋_GB2312" w:hAnsi="宋体" w:eastAsia="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19"/>
              <w:rPr>
                <w:rFonts w:ascii="仿宋_GB2312" w:hAnsi="宋体" w:eastAsia="仿宋_GB2312"/>
                <w:sz w:val="24"/>
              </w:rPr>
            </w:pPr>
            <w:r>
              <w:rPr>
                <w:rFonts w:hint="eastAsia" w:ascii="仿宋_GB2312" w:hAnsi="宋体" w:eastAsia="仿宋_GB2312"/>
                <w:sz w:val="24"/>
              </w:rPr>
              <w:t>招标代理机构：</w:t>
            </w:r>
            <w:permStart w:id="100" w:edGrp="everyone"/>
          </w:p>
          <w:permEnd w:id="100"/>
          <w:p>
            <w:pPr>
              <w:pStyle w:val="19"/>
              <w:rPr>
                <w:rFonts w:ascii="仿宋_GB2312" w:hAnsi="宋体" w:eastAsia="仿宋_GB2312"/>
                <w:sz w:val="24"/>
              </w:rPr>
            </w:pPr>
            <w:r>
              <w:rPr>
                <w:rFonts w:hint="eastAsia" w:ascii="仿宋_GB2312" w:hAnsi="宋体" w:eastAsia="仿宋_GB2312"/>
                <w:sz w:val="24"/>
              </w:rPr>
              <w:t>经办人：</w:t>
            </w:r>
          </w:p>
          <w:p>
            <w:pPr>
              <w:pStyle w:val="19"/>
              <w:rPr>
                <w:rFonts w:ascii="仿宋_GB2312" w:hAnsi="宋体" w:eastAsia="仿宋_GB2312"/>
                <w:sz w:val="24"/>
              </w:rPr>
            </w:pPr>
            <w:r>
              <w:rPr>
                <w:rFonts w:hint="eastAsia" w:ascii="仿宋_GB2312" w:hAnsi="宋体" w:eastAsia="仿宋_GB2312"/>
                <w:sz w:val="24"/>
              </w:rPr>
              <w:t>联系电话：</w:t>
            </w:r>
          </w:p>
          <w:p>
            <w:pPr>
              <w:pStyle w:val="19"/>
              <w:ind w:firstLine="7320" w:firstLineChars="3050"/>
              <w:rPr>
                <w:rFonts w:ascii="仿宋_GB2312" w:hAnsi="宋体" w:eastAsia="仿宋_GB2312"/>
                <w:sz w:val="24"/>
              </w:rPr>
            </w:pPr>
          </w:p>
          <w:p>
            <w:pPr>
              <w:pStyle w:val="19"/>
              <w:ind w:firstLine="6480" w:firstLineChars="2700"/>
              <w:rPr>
                <w:rFonts w:ascii="仿宋_GB2312" w:hAnsi="宋体" w:eastAsia="仿宋_GB2312"/>
                <w:sz w:val="24"/>
              </w:rPr>
            </w:pPr>
            <w:r>
              <w:rPr>
                <w:rFonts w:hint="eastAsia" w:ascii="仿宋_GB2312" w:hAnsi="宋体" w:eastAsia="仿宋_GB2312"/>
                <w:sz w:val="24"/>
              </w:rPr>
              <w:t>（单位盖章）</w:t>
            </w:r>
          </w:p>
          <w:p>
            <w:pPr>
              <w:pStyle w:val="19"/>
              <w:ind w:firstLine="6328" w:firstLineChars="2637"/>
              <w:rPr>
                <w:rFonts w:ascii="仿宋_GB2312" w:hAnsi="宋体" w:eastAsia="仿宋_GB2312"/>
                <w:sz w:val="24"/>
              </w:rPr>
            </w:pPr>
            <w:r>
              <w:rPr>
                <w:rFonts w:hint="eastAsia" w:ascii="仿宋_GB2312" w:hAnsi="宋体" w:eastAsia="仿宋_GB2312"/>
                <w:sz w:val="24"/>
              </w:rPr>
              <w:t>年     月    日</w:t>
            </w:r>
          </w:p>
        </w:tc>
      </w:tr>
    </w:tbl>
    <w:p>
      <w:pPr>
        <w:pStyle w:val="60"/>
        <w:spacing w:beforeLines="20" w:afterLines="20" w:line="540" w:lineRule="exact"/>
        <w:rPr>
          <w:rFonts w:ascii="仿宋_GB2312" w:eastAsia="仿宋_GB2312"/>
          <w:b/>
          <w:bCs/>
          <w:sz w:val="30"/>
        </w:rPr>
      </w:pPr>
    </w:p>
    <w:p>
      <w:pPr>
        <w:pStyle w:val="60"/>
        <w:spacing w:beforeLines="20" w:afterLines="20" w:line="540" w:lineRule="exact"/>
        <w:rPr>
          <w:rFonts w:ascii="仿宋_GB2312" w:eastAsia="仿宋_GB2312"/>
          <w:b/>
          <w:bCs/>
          <w:sz w:val="30"/>
        </w:rPr>
      </w:pPr>
    </w:p>
    <w:sectPr>
      <w:pgSz w:w="11907" w:h="16840"/>
      <w:pgMar w:top="1298" w:right="1077" w:bottom="1060" w:left="1077" w:header="851" w:footer="737" w:gutter="0"/>
      <w:cols w:space="720" w:num="1"/>
      <w:docGrid w:type="lines" w:linePitch="47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华文细黑">
    <w:altName w:val="微软雅黑"/>
    <w:panose1 w:val="00000000000000000000"/>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0000000000000000000"/>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隶书">
    <w:altName w:val="微软雅黑"/>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Roman">
    <w:altName w:val="Times New Roman"/>
    <w:panose1 w:val="00000000000000000000"/>
    <w:charset w:val="00"/>
    <w:family w:val="roman"/>
    <w:pitch w:val="default"/>
    <w:sig w:usb0="00000000" w:usb1="00000000" w:usb2="00000000" w:usb3="00000000" w:csb0="00000000" w:csb1="00000000"/>
  </w:font>
  <w:font w:name="宋体 ，Arial">
    <w:altName w:val="宋体"/>
    <w:panose1 w:val="00000000000000000000"/>
    <w:charset w:val="86"/>
    <w:family w:val="roman"/>
    <w:pitch w:val="default"/>
    <w:sig w:usb0="00000000" w:usb1="00000000" w:usb2="00000010" w:usb3="00000000" w:csb0="00040000" w:csb1="00000000"/>
  </w:font>
  <w:font w:name="Arial Narrow">
    <w:altName w:val="Segoe Script"/>
    <w:panose1 w:val="00000000000000000000"/>
    <w:charset w:val="00"/>
    <w:family w:val="swiss"/>
    <w:pitch w:val="default"/>
    <w:sig w:usb0="00000000" w:usb1="00000000" w:usb2="00000000" w:usb3="00000000" w:csb0="0000009F" w:csb1="00000000"/>
  </w:font>
  <w:font w:name="Segoe Script">
    <w:panose1 w:val="020B0504020000000003"/>
    <w:charset w:val="00"/>
    <w:family w:val="auto"/>
    <w:pitch w:val="default"/>
    <w:sig w:usb0="0000028F" w:usb1="00000000" w:usb2="00000000" w:usb3="00000000" w:csb0="0000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156</w:t>
    </w:r>
    <w:r>
      <w:rPr>
        <w:rStyle w:val="54"/>
      </w:rPr>
      <w:fldChar w:fldCharType="end"/>
    </w:r>
  </w:p>
  <w:p>
    <w:pPr>
      <w:pStyle w:val="3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w:t>
    </w:r>
    <w:r>
      <w:rPr>
        <w:rStyle w:val="54"/>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w:t>
    </w:r>
    <w:r>
      <w:rPr>
        <w:rStyle w:val="54"/>
      </w:rPr>
      <w:fldChar w:fldCharType="end"/>
    </w:r>
  </w:p>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w:t>
    </w:r>
    <w:r>
      <w:rPr>
        <w:rStyle w:val="54"/>
      </w:rPr>
      <w:fldChar w:fldCharType="end"/>
    </w:r>
  </w:p>
  <w:p>
    <w:pPr>
      <w:pStyle w:val="3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w:t>
    </w:r>
    <w:r>
      <w:rPr>
        <w:rStyle w:val="54"/>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rPr>
        <w:u w:val="single"/>
      </w:rPr>
    </w:pPr>
    <w:r>
      <w:rPr>
        <w:sz w:val="20"/>
      </w:rPr>
      <w:pict>
        <v:line id="Line 2" o:spid="_x0000_s2049" o:spt="20" style="position:absolute;left:0pt;margin-left:1.3pt;margin-top:-1.95pt;height:0pt;width:480.9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7atwAEAAGkDAAAOAAAAZHJzL2Uyb0RvYy54bWysU02P2yAQvVfqf0DcGztpd9u14uwh2+0l&#10;bSPt7g+YALZRgUFAYuffdyAf3ba3qj4ghpl5vPcGL+8na9hBhajRtXw+qzlTTqDUrm/5y/Pju0+c&#10;xQROgkGnWn5Ukd+v3r5Zjr5RCxzQSBUYgbjYjL7lQ0q+qaooBmUhztArR8kOg4VEYegrGWAkdGuq&#10;RV3fViMG6QMKFSOdPpySfFXwu06J9L3rokrMtJy4pbKGsu7yWq2W0PQB/KDFmQb8AwsL2tGlV6gH&#10;SMD2Qf8FZbUIGLFLM4G2wq7TQhUNpGZe/6HmaQCvihYyJ/qrTfH/wYpvh21gWtLsOHNgaUQb7RRb&#10;ZGdGHxsqWLttyNrE5J78BsWPyByuB3C9Kgyfj57a5rmj+q0lB9ET/m78ipJqYJ+w2DR1wWZIMoBN&#10;ZRrH6zTUlJigw9t5/fHDexqauOQqaC6NPsT0RaFledNyQ5wLMBw2MWUi0FxK8j0OH7UxZdjGsbHl&#10;dzeLm9IQ0WiZk7kshn63NoEdID+X8hVVlHldFnDvZAEbFMjP530CbU57uty4sxlZ/8nJHcrjNlxM&#10;onkWlue3lx/M67h0//pDVj8BAAD//wMAUEsDBBQABgAIAAAAIQALSp4E2wAAAAcBAAAPAAAAZHJz&#10;L2Rvd25yZXYueG1sTI7NTsMwEITvSLyDtUhcqtYhrSIasqkQkBsXCojrNl6SiHidxm4beHqMOMBx&#10;fjTzFZvJ9urIo++cIFwtElAstTOdNAgvz9X8GpQPJIZ6J4zwyR425flZQblxJ3ni4zY0Ko6Izwmh&#10;DWHItfZ1y5b8wg0sMXt3o6UQ5dhoM9Ipjttep0mSaUudxIeWBr5ruf7YHiyCr155X33N6lnytmwc&#10;p/v7xwdCvLyYbm9ABZ7CXxl+8CM6lJFp5w5ivOoR0iwWEebLNagYr7PVCtTu19Blof/zl98AAAD/&#10;/wMAUEsBAi0AFAAGAAgAAAAhALaDOJL+AAAA4QEAABMAAAAAAAAAAAAAAAAAAAAAAFtDb250ZW50&#10;X1R5cGVzXS54bWxQSwECLQAUAAYACAAAACEAOP0h/9YAAACUAQAACwAAAAAAAAAAAAAAAAAvAQAA&#10;X3JlbHMvLnJlbHNQSwECLQAUAAYACAAAACEArQO2rcABAABpAwAADgAAAAAAAAAAAAAAAAAuAgAA&#10;ZHJzL2Uyb0RvYy54bWxQSwECLQAUAAYACAAAACEAC0qeBNsAAAAHAQAADwAAAAAAAAAAAAAAAAAa&#10;BAAAZHJzL2Rvd25yZXYueG1sUEsFBgAAAAAEAAQA8wAAACIFAAAAAA==&#10;">
          <v:path arrowok="t"/>
          <v:fill focussize="0,0"/>
          <v:stroke/>
          <v:imagedata o:title=""/>
          <o:lock v:ext="edit"/>
        </v:line>
      </w:pict>
    </w:r>
    <w:r>
      <w:rPr>
        <w:rStyle w:val="54"/>
      </w:rPr>
      <w:fldChar w:fldCharType="begin"/>
    </w:r>
    <w:r>
      <w:rPr>
        <w:rStyle w:val="54"/>
      </w:rPr>
      <w:instrText xml:space="preserve"> PAGE </w:instrText>
    </w:r>
    <w:r>
      <w:rPr>
        <w:rStyle w:val="54"/>
      </w:rPr>
      <w:fldChar w:fldCharType="separate"/>
    </w:r>
    <w:r>
      <w:rPr>
        <w:rStyle w:val="54"/>
      </w:rPr>
      <w:t>87</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30">
    <w:p>
      <w:r>
        <w:separator/>
      </w:r>
    </w:p>
  </w:footnote>
  <w:footnote w:type="continuationSeparator" w:id="31">
    <w:p>
      <w:r>
        <w:continuationSeparator/>
      </w:r>
    </w:p>
  </w:footnote>
  <w:footnote w:id="0">
    <w:p>
      <w:pPr>
        <w:pStyle w:val="40"/>
      </w:pPr>
      <w:r>
        <w:rPr>
          <w:rStyle w:val="59"/>
        </w:rPr>
        <w:footnoteRef/>
      </w:r>
      <w:r>
        <w:t xml:space="preserve"> </w:t>
      </w:r>
      <w:r>
        <w:rPr>
          <w:rFonts w:hint="eastAsia"/>
        </w:rPr>
        <w:t>本部分不加修改地引用了国家九部委《标准施工招标文件》（2007年版）相关内容。</w:t>
      </w:r>
    </w:p>
  </w:footnote>
  <w:footnote w:id="1">
    <w:p>
      <w:pPr>
        <w:pStyle w:val="40"/>
        <w:spacing w:line="320" w:lineRule="atLeast"/>
        <w:ind w:left="180" w:hanging="180" w:hangingChars="100"/>
      </w:pPr>
      <w:r>
        <w:rPr>
          <w:rStyle w:val="59"/>
        </w:rPr>
        <w:footnoteRef/>
      </w:r>
      <w:r>
        <w:t xml:space="preserve"> 如果在招标</w:t>
      </w:r>
      <w:r>
        <w:rPr>
          <w:rFonts w:hint="eastAsia"/>
        </w:rPr>
        <w:t>阶段，招标人</w:t>
      </w:r>
      <w:r>
        <w:t>在图纸中直接指定了取土场和弃土场位置</w:t>
      </w:r>
      <w:r>
        <w:rPr>
          <w:rFonts w:hint="eastAsia"/>
        </w:rPr>
        <w:t>，</w:t>
      </w:r>
      <w:r>
        <w:t>且作为投标人投标</w:t>
      </w:r>
      <w:r>
        <w:rPr>
          <w:rFonts w:hint="eastAsia"/>
        </w:rPr>
        <w:t>报价</w:t>
      </w:r>
      <w:r>
        <w:t>的依据</w:t>
      </w:r>
      <w:r>
        <w:rPr>
          <w:rFonts w:hint="eastAsia"/>
        </w:rPr>
        <w:t>，则招标人应在项目专用合同条款中对本项规定进行调整。</w:t>
      </w:r>
    </w:p>
  </w:footnote>
  <w:footnote w:id="2">
    <w:p>
      <w:pPr>
        <w:pStyle w:val="40"/>
        <w:spacing w:line="300" w:lineRule="atLeast"/>
        <w:ind w:left="210" w:hanging="210"/>
        <w:rPr>
          <w:szCs w:val="18"/>
        </w:rPr>
      </w:pPr>
      <w:r>
        <w:rPr>
          <w:rStyle w:val="59"/>
          <w:szCs w:val="18"/>
        </w:rPr>
        <w:footnoteRef/>
      </w:r>
      <w:r>
        <w:rPr>
          <w:rFonts w:hint="eastAsia" w:hAnsi="Roman"/>
          <w:szCs w:val="18"/>
        </w:rPr>
        <w:t xml:space="preserve"> 缺陷责任期一般为自实际交工日期起计算1年，最长不超过2年。</w:t>
      </w:r>
    </w:p>
  </w:footnote>
  <w:footnote w:id="3">
    <w:p>
      <w:pPr>
        <w:pStyle w:val="40"/>
        <w:spacing w:line="300" w:lineRule="atLeast"/>
        <w:ind w:left="210" w:hanging="210"/>
        <w:rPr>
          <w:szCs w:val="18"/>
        </w:rPr>
      </w:pPr>
      <w:r>
        <w:rPr>
          <w:rStyle w:val="59"/>
          <w:szCs w:val="18"/>
        </w:rPr>
        <w:footnoteRef/>
      </w:r>
      <w:r>
        <w:rPr>
          <w:rFonts w:hint="eastAsia" w:hAnsi="Roman"/>
          <w:szCs w:val="18"/>
        </w:rPr>
        <w:t xml:space="preserve"> </w:t>
      </w:r>
      <w:r>
        <w:rPr>
          <w:rFonts w:hAnsi="Roman"/>
          <w:szCs w:val="18"/>
        </w:rPr>
        <w:t>逾期交工违约金限额</w:t>
      </w:r>
      <w:r>
        <w:rPr>
          <w:rFonts w:hint="eastAsia" w:hAnsi="Roman"/>
          <w:szCs w:val="18"/>
        </w:rPr>
        <w:t>一般应为10</w:t>
      </w:r>
      <w:r>
        <w:rPr>
          <w:rFonts w:hAnsi="Roman"/>
          <w:szCs w:val="18"/>
        </w:rPr>
        <w:t>%签约合同价</w:t>
      </w:r>
      <w:r>
        <w:rPr>
          <w:rFonts w:hint="eastAsia" w:hAnsi="Roman"/>
          <w:szCs w:val="18"/>
        </w:rPr>
        <w:t>。</w:t>
      </w:r>
    </w:p>
  </w:footnote>
  <w:footnote w:id="4">
    <w:p>
      <w:pPr>
        <w:pStyle w:val="40"/>
        <w:spacing w:line="280" w:lineRule="atLeast"/>
        <w:ind w:left="210" w:hanging="210"/>
        <w:rPr>
          <w:szCs w:val="18"/>
        </w:rPr>
      </w:pPr>
      <w:r>
        <w:rPr>
          <w:rStyle w:val="59"/>
          <w:szCs w:val="18"/>
        </w:rPr>
        <w:footnoteRef/>
      </w:r>
      <w:r>
        <w:rPr>
          <w:rFonts w:hint="eastAsia" w:hAnsi="Roman"/>
          <w:szCs w:val="18"/>
        </w:rPr>
        <w:t xml:space="preserve">  对于工程规模不大、工期较短的工程（例如工期不超过12个月的），可以不进行调价。</w:t>
      </w:r>
    </w:p>
  </w:footnote>
  <w:footnote w:id="5">
    <w:p>
      <w:pPr>
        <w:pStyle w:val="40"/>
        <w:spacing w:line="280" w:lineRule="atLeast"/>
        <w:ind w:left="210" w:hanging="210"/>
        <w:rPr>
          <w:szCs w:val="18"/>
        </w:rPr>
      </w:pPr>
      <w:r>
        <w:rPr>
          <w:rStyle w:val="59"/>
          <w:szCs w:val="18"/>
        </w:rPr>
        <w:footnoteRef/>
      </w:r>
      <w:r>
        <w:rPr>
          <w:szCs w:val="18"/>
        </w:rPr>
        <w:t xml:space="preserve"> </w:t>
      </w:r>
      <w:r>
        <w:rPr>
          <w:rFonts w:hint="eastAsia"/>
          <w:szCs w:val="18"/>
        </w:rPr>
        <w:t xml:space="preserve"> </w:t>
      </w:r>
      <w:r>
        <w:rPr>
          <w:rFonts w:hint="eastAsia" w:hAnsi="Roman"/>
          <w:szCs w:val="18"/>
        </w:rPr>
        <w:t>开工预付款金额一般应为10％签约合同价。</w:t>
      </w:r>
    </w:p>
  </w:footnote>
  <w:footnote w:id="6">
    <w:p>
      <w:pPr>
        <w:pStyle w:val="40"/>
        <w:spacing w:line="280" w:lineRule="atLeast"/>
        <w:ind w:left="210" w:hanging="210"/>
        <w:rPr>
          <w:szCs w:val="18"/>
        </w:rPr>
      </w:pPr>
      <w:r>
        <w:rPr>
          <w:rStyle w:val="59"/>
          <w:szCs w:val="18"/>
        </w:rPr>
        <w:footnoteRef/>
      </w:r>
      <w:r>
        <w:rPr>
          <w:rFonts w:hint="eastAsia" w:hAnsi="Roman"/>
          <w:szCs w:val="18"/>
        </w:rPr>
        <w:t xml:space="preserve">  指主要材料，一般应为70%～75%，最低不少于60%。</w:t>
      </w:r>
    </w:p>
  </w:footnote>
  <w:footnote w:id="7">
    <w:p>
      <w:pPr>
        <w:pStyle w:val="40"/>
        <w:spacing w:line="280" w:lineRule="atLeast"/>
        <w:ind w:left="210" w:hanging="210"/>
        <w:rPr>
          <w:szCs w:val="18"/>
        </w:rPr>
      </w:pPr>
      <w:r>
        <w:rPr>
          <w:rStyle w:val="59"/>
          <w:szCs w:val="18"/>
        </w:rPr>
        <w:footnoteRef/>
      </w:r>
      <w:r>
        <w:rPr>
          <w:rFonts w:hint="eastAsia" w:hAnsi="Roman"/>
          <w:szCs w:val="18"/>
        </w:rPr>
        <w:t xml:space="preserve">  国际上一般按月平均支付额的0.3</w:t>
      </w:r>
      <w:r>
        <w:rPr>
          <w:rFonts w:hint="eastAsia" w:hAnsi="Roman"/>
          <w:szCs w:val="18"/>
        </w:rPr>
        <w:sym w:font="Symbol" w:char="F07E"/>
      </w:r>
      <w:r>
        <w:rPr>
          <w:rFonts w:hint="eastAsia" w:hAnsi="Roman"/>
          <w:szCs w:val="18"/>
        </w:rPr>
        <w:t>0.5倍计算，我国可按0.2</w:t>
      </w:r>
      <w:r>
        <w:rPr>
          <w:rFonts w:hint="eastAsia" w:hAnsi="Roman"/>
          <w:szCs w:val="18"/>
        </w:rPr>
        <w:sym w:font="Symbol" w:char="F07E"/>
      </w:r>
      <w:r>
        <w:rPr>
          <w:rFonts w:hAnsi="Roman"/>
          <w:szCs w:val="18"/>
        </w:rPr>
        <w:t>0.3倍</w:t>
      </w:r>
      <w:r>
        <w:rPr>
          <w:rFonts w:hint="eastAsia" w:hAnsi="Roman"/>
          <w:szCs w:val="18"/>
        </w:rPr>
        <w:t>计，以利承包人资金周转。</w:t>
      </w:r>
    </w:p>
  </w:footnote>
  <w:footnote w:id="8">
    <w:p>
      <w:pPr>
        <w:pStyle w:val="40"/>
        <w:spacing w:line="280" w:lineRule="atLeast"/>
        <w:ind w:left="210" w:hanging="210"/>
        <w:rPr>
          <w:szCs w:val="18"/>
        </w:rPr>
      </w:pPr>
      <w:r>
        <w:rPr>
          <w:rStyle w:val="59"/>
          <w:szCs w:val="18"/>
        </w:rPr>
        <w:footnoteRef/>
      </w:r>
      <w:r>
        <w:rPr>
          <w:rFonts w:hint="eastAsia" w:hAnsi="Roman"/>
          <w:szCs w:val="18"/>
        </w:rPr>
        <w:t xml:space="preserve">  相当于中国人民银行短期贷款利率加手续费。招标人不能自行取消本项内容或降低利率。</w:t>
      </w:r>
    </w:p>
  </w:footnote>
  <w:footnote w:id="9">
    <w:p>
      <w:pPr>
        <w:pStyle w:val="40"/>
        <w:spacing w:line="280" w:lineRule="atLeast"/>
        <w:ind w:left="210" w:hanging="210"/>
        <w:rPr>
          <w:szCs w:val="18"/>
        </w:rPr>
      </w:pPr>
      <w:r>
        <w:rPr>
          <w:rStyle w:val="59"/>
          <w:szCs w:val="18"/>
        </w:rPr>
        <w:footnoteRef/>
      </w:r>
      <w:r>
        <w:rPr>
          <w:rFonts w:hint="eastAsia" w:hAnsi="Roman"/>
          <w:szCs w:val="18"/>
        </w:rPr>
        <w:t xml:space="preserve">  质量保证金最高不超过合同价格的3%。</w:t>
      </w:r>
    </w:p>
  </w:footnote>
  <w:footnote w:id="10">
    <w:p>
      <w:pPr>
        <w:pStyle w:val="40"/>
        <w:spacing w:line="280" w:lineRule="atLeast"/>
        <w:ind w:left="180" w:hanging="180" w:hangingChars="100"/>
        <w:rPr>
          <w:szCs w:val="18"/>
        </w:rPr>
      </w:pPr>
      <w:r>
        <w:rPr>
          <w:rStyle w:val="59"/>
          <w:szCs w:val="18"/>
        </w:rPr>
        <w:footnoteRef/>
      </w:r>
      <w:r>
        <w:rPr>
          <w:rFonts w:hint="eastAsia" w:hAnsi="Roman"/>
          <w:szCs w:val="18"/>
        </w:rPr>
        <w:t xml:space="preserve">  若</w:t>
      </w:r>
      <w:r>
        <w:rPr>
          <w:rFonts w:hAnsi="Roman"/>
          <w:szCs w:val="18"/>
        </w:rPr>
        <w:t>交工验收时</w:t>
      </w:r>
      <w:r>
        <w:rPr>
          <w:rFonts w:hint="eastAsia" w:hAnsi="Roman"/>
          <w:szCs w:val="18"/>
        </w:rPr>
        <w:t>承包人具备</w:t>
      </w:r>
      <w:r>
        <w:rPr>
          <w:rFonts w:hAnsi="Roman"/>
          <w:szCs w:val="18"/>
        </w:rPr>
        <w:t>被招标项目所在地省级交通运输主管部门评</w:t>
      </w:r>
      <w:r>
        <w:rPr>
          <w:rFonts w:hint="eastAsia" w:hAnsi="Roman"/>
          <w:szCs w:val="18"/>
        </w:rPr>
        <w:t>定的</w:t>
      </w:r>
      <w:r>
        <w:rPr>
          <w:rFonts w:hAnsi="Roman"/>
          <w:szCs w:val="18"/>
        </w:rPr>
        <w:t>最高信用等级</w:t>
      </w:r>
      <w:r>
        <w:rPr>
          <w:rFonts w:hint="eastAsia" w:hAnsi="Roman"/>
          <w:szCs w:val="18"/>
        </w:rPr>
        <w:t>，发包人可在质量保证金方面给予一定的优惠奖励，例如发包人可给予承包人2%合同价格质量保证金的优惠，具体优惠幅度由发包人自行确定。</w:t>
      </w:r>
    </w:p>
  </w:footnote>
  <w:footnote w:id="11">
    <w:p>
      <w:pPr>
        <w:pStyle w:val="40"/>
        <w:spacing w:line="280" w:lineRule="atLeast"/>
        <w:ind w:left="210" w:hanging="210"/>
        <w:rPr>
          <w:szCs w:val="18"/>
        </w:rPr>
      </w:pPr>
      <w:r>
        <w:rPr>
          <w:rStyle w:val="59"/>
          <w:szCs w:val="18"/>
        </w:rPr>
        <w:footnoteRef/>
      </w:r>
      <w:r>
        <w:rPr>
          <w:rFonts w:hint="eastAsia"/>
          <w:szCs w:val="18"/>
        </w:rPr>
        <w:t xml:space="preserve">  </w:t>
      </w:r>
      <w:r>
        <w:rPr>
          <w:rFonts w:hAnsi="Roman"/>
          <w:szCs w:val="18"/>
        </w:rPr>
        <w:t>保修期一般应为自实际交工日期起计算5年</w:t>
      </w:r>
      <w:r>
        <w:rPr>
          <w:rFonts w:hint="eastAsia" w:hAnsi="Roman"/>
          <w:szCs w:val="18"/>
        </w:rPr>
        <w:t>。</w:t>
      </w:r>
    </w:p>
  </w:footnote>
  <w:footnote w:id="12">
    <w:p>
      <w:pPr>
        <w:pStyle w:val="40"/>
        <w:spacing w:line="300" w:lineRule="atLeast"/>
        <w:ind w:left="360" w:hanging="360" w:hangingChars="200"/>
        <w:jc w:val="both"/>
        <w:rPr>
          <w:szCs w:val="18"/>
        </w:rPr>
      </w:pPr>
      <w:r>
        <w:rPr>
          <w:rStyle w:val="59"/>
          <w:rFonts w:ascii="宋体" w:hAnsi="宋体"/>
          <w:szCs w:val="18"/>
        </w:rPr>
        <w:footnoteRef/>
      </w:r>
      <w:r>
        <w:rPr>
          <w:rFonts w:hint="eastAsia"/>
          <w:szCs w:val="18"/>
        </w:rPr>
        <w:t xml:space="preserve"> </w:t>
      </w:r>
      <w:r>
        <w:rPr>
          <w:szCs w:val="18"/>
        </w:rPr>
        <w:t>a.</w:t>
      </w:r>
      <w:r>
        <w:rPr>
          <w:rFonts w:hAnsi="宋体"/>
          <w:szCs w:val="18"/>
        </w:rPr>
        <w:t>招标人应在招标文件中规定若投标人在所投标段中标需派驻的其他管理和技术人员</w:t>
      </w:r>
      <w:r>
        <w:rPr>
          <w:rFonts w:hint="eastAsia"/>
        </w:rPr>
        <w:t>（例如</w:t>
      </w:r>
      <w:r>
        <w:t>项目副经理、专业工程师等</w:t>
      </w:r>
      <w:r>
        <w:rPr>
          <w:rFonts w:hint="eastAsia"/>
        </w:rPr>
        <w:t>）</w:t>
      </w:r>
      <w:r>
        <w:rPr>
          <w:rFonts w:hAnsi="宋体"/>
          <w:szCs w:val="18"/>
        </w:rPr>
        <w:t>。</w:t>
      </w:r>
      <w:r>
        <w:rPr>
          <w:rFonts w:hint="eastAsia" w:hAnsi="宋体"/>
          <w:szCs w:val="18"/>
        </w:rPr>
        <w:t>上述人员</w:t>
      </w:r>
      <w:r>
        <w:rPr>
          <w:rFonts w:hAnsi="宋体"/>
          <w:szCs w:val="18"/>
        </w:rPr>
        <w:t>的具体人选由招标人和中标人在合同谈判阶段确定</w:t>
      </w:r>
      <w:r>
        <w:rPr>
          <w:rFonts w:hint="eastAsia" w:hAnsi="宋体"/>
          <w:szCs w:val="18"/>
        </w:rPr>
        <w:t>，且经</w:t>
      </w:r>
      <w:r>
        <w:rPr>
          <w:rFonts w:hAnsi="宋体"/>
          <w:szCs w:val="18"/>
        </w:rPr>
        <w:t>招标人审批后作为派驻本标段的项目管理机构主要人员</w:t>
      </w:r>
      <w:r>
        <w:rPr>
          <w:rFonts w:hint="eastAsia" w:hAnsi="宋体"/>
          <w:szCs w:val="18"/>
        </w:rPr>
        <w:t>，</w:t>
      </w:r>
      <w:r>
        <w:rPr>
          <w:rFonts w:hAnsi="宋体"/>
          <w:szCs w:val="18"/>
        </w:rPr>
        <w:t>不允许更换。</w:t>
      </w:r>
      <w:r>
        <w:rPr>
          <w:rFonts w:hint="eastAsia" w:hAnsi="宋体"/>
          <w:szCs w:val="18"/>
        </w:rPr>
        <w:t>如中标人拟派驻的人员数量和资格条件不满足本表要求，招标人应取消其中标资格。</w:t>
      </w:r>
    </w:p>
    <w:p>
      <w:pPr>
        <w:pStyle w:val="40"/>
        <w:spacing w:line="300" w:lineRule="atLeast"/>
        <w:ind w:left="361" w:leftChars="86" w:hanging="180" w:hangingChars="100"/>
        <w:jc w:val="both"/>
        <w:rPr>
          <w:szCs w:val="18"/>
        </w:rPr>
      </w:pPr>
      <w:r>
        <w:rPr>
          <w:szCs w:val="18"/>
        </w:rPr>
        <w:t>b.</w:t>
      </w:r>
      <w:r>
        <w:rPr>
          <w:rFonts w:hAnsi="宋体"/>
          <w:szCs w:val="18"/>
        </w:rPr>
        <w:t>本表不适用于已按资格预审文件或招标文件要求提供了其他管理和技术人员的特别复杂的特大桥梁和特长隧道项目主体工程以及其他有特殊要求的工程</w:t>
      </w:r>
      <w:r>
        <w:rPr>
          <w:rFonts w:hint="eastAsia" w:ascii="宋体" w:hAnsi="宋体"/>
          <w:szCs w:val="18"/>
        </w:rPr>
        <w:t>。</w:t>
      </w:r>
    </w:p>
  </w:footnote>
  <w:footnote w:id="13">
    <w:p>
      <w:pPr>
        <w:pStyle w:val="40"/>
        <w:spacing w:line="300" w:lineRule="atLeast"/>
        <w:ind w:left="360" w:hanging="360" w:hangingChars="200"/>
        <w:rPr>
          <w:szCs w:val="18"/>
        </w:rPr>
      </w:pPr>
      <w:r>
        <w:rPr>
          <w:rStyle w:val="59"/>
          <w:szCs w:val="18"/>
        </w:rPr>
        <w:footnoteRef/>
      </w:r>
      <w:r>
        <w:rPr>
          <w:rFonts w:hint="eastAsia"/>
          <w:szCs w:val="18"/>
        </w:rPr>
        <w:t xml:space="preserve"> </w:t>
      </w:r>
      <w:r>
        <w:rPr>
          <w:szCs w:val="18"/>
        </w:rPr>
        <w:t>a.</w:t>
      </w:r>
      <w:r>
        <w:rPr>
          <w:rFonts w:hint="eastAsia"/>
          <w:szCs w:val="18"/>
        </w:rPr>
        <w:t xml:space="preserve"> </w:t>
      </w:r>
      <w:r>
        <w:rPr>
          <w:rFonts w:hAnsi="宋体"/>
          <w:szCs w:val="18"/>
        </w:rPr>
        <w:t>招标人应在招标文件中规定若投标人在所投标段中标需提供的主要机械设备和试验检测设备。招标人将在</w:t>
      </w:r>
      <w:r>
        <w:rPr>
          <w:rFonts w:hint="eastAsia" w:hAnsi="宋体"/>
          <w:szCs w:val="18"/>
        </w:rPr>
        <w:t>合同谈判阶段</w:t>
      </w:r>
      <w:r>
        <w:rPr>
          <w:rFonts w:hAnsi="宋体"/>
          <w:szCs w:val="18"/>
        </w:rPr>
        <w:t>要求中标人按照本表的最低要求填报为本标段配备的主要设备，在经招标人审批后作为投入本标段的主要设备且不允许更换。</w:t>
      </w:r>
      <w:r>
        <w:rPr>
          <w:rFonts w:hint="eastAsia" w:hAnsi="宋体"/>
          <w:szCs w:val="18"/>
        </w:rPr>
        <w:t>如招标人拟提供的设备数量和规格指标等不满足本表要求，招标人应取消其中标资格。</w:t>
      </w:r>
    </w:p>
    <w:p>
      <w:pPr>
        <w:pStyle w:val="40"/>
        <w:spacing w:line="300" w:lineRule="atLeast"/>
        <w:ind w:left="451" w:leftChars="129" w:hanging="180" w:hangingChars="100"/>
        <w:jc w:val="both"/>
        <w:rPr>
          <w:szCs w:val="18"/>
        </w:rPr>
      </w:pPr>
      <w:r>
        <w:rPr>
          <w:szCs w:val="18"/>
        </w:rPr>
        <w:t>b.</w:t>
      </w:r>
      <w:r>
        <w:rPr>
          <w:rFonts w:hAnsi="宋体"/>
          <w:szCs w:val="18"/>
        </w:rPr>
        <w:t>本表不适用</w:t>
      </w:r>
      <w:r>
        <w:rPr>
          <w:rFonts w:hint="eastAsia" w:ascii="宋体" w:hAnsi="宋体"/>
          <w:szCs w:val="18"/>
        </w:rPr>
        <w:t>于已按资格预审文件或招标文件要求提供了主要机械设备和试验检测设备的特别复杂的特大桥梁和特长隧道项目主体工程以及其他有特殊要求的工程。</w:t>
      </w:r>
    </w:p>
    <w:p>
      <w:pPr>
        <w:pStyle w:val="40"/>
        <w:ind w:left="210" w:hanging="210"/>
        <w:rPr>
          <w:sz w:val="21"/>
          <w:szCs w:val="21"/>
        </w:rPr>
      </w:pPr>
    </w:p>
  </w:footnote>
  <w:footnote w:id="14">
    <w:p>
      <w:pPr>
        <w:pStyle w:val="40"/>
        <w:tabs>
          <w:tab w:val="left" w:pos="3780"/>
        </w:tabs>
        <w:spacing w:line="340" w:lineRule="atLeast"/>
        <w:ind w:left="210" w:hanging="210"/>
      </w:pPr>
      <w:r>
        <w:rPr>
          <w:rStyle w:val="59"/>
        </w:rPr>
        <w:footnoteRef/>
      </w:r>
      <w:r>
        <w:rPr>
          <w:rFonts w:hint="eastAsia"/>
        </w:rPr>
        <w:t>本条内容可修改为：“</w:t>
      </w:r>
      <w:r>
        <w:t>本</w:t>
      </w:r>
      <w:r>
        <w:rPr>
          <w:rFonts w:hint="eastAsia"/>
        </w:rPr>
        <w:t>担保</w:t>
      </w:r>
      <w:r>
        <w:t>自</w:t>
      </w:r>
      <w:r>
        <w:rPr>
          <w:rFonts w:hint="eastAsia"/>
          <w:u w:val="single"/>
        </w:rPr>
        <w:t xml:space="preserve">         </w:t>
      </w:r>
      <w:r>
        <w:t>（生效日期）之日起生效，至</w:t>
      </w:r>
      <w:r>
        <w:rPr>
          <w:rFonts w:hint="eastAsia"/>
          <w:u w:val="single"/>
        </w:rPr>
        <w:t xml:space="preserve">         </w:t>
      </w:r>
      <w:r>
        <w:t>（失效日期）之日失效</w:t>
      </w:r>
      <w:r>
        <w:rPr>
          <w:rFonts w:hint="eastAsia"/>
        </w:rPr>
        <w:t>。”</w:t>
      </w:r>
      <w:r>
        <w:rPr>
          <w:rFonts w:hint="eastAsia"/>
          <w:sz w:val="21"/>
          <w:szCs w:val="21"/>
        </w:rPr>
        <w:t xml:space="preserve"> </w:t>
      </w:r>
      <w:r>
        <w:rPr>
          <w:rFonts w:hint="eastAsia"/>
        </w:rPr>
        <w:t>如发包人接受履约</w:t>
      </w:r>
      <w:r>
        <w:t>保函</w:t>
      </w:r>
      <w:r>
        <w:rPr>
          <w:rFonts w:hint="eastAsia"/>
        </w:rPr>
        <w:t>采用固定有效</w:t>
      </w:r>
      <w:r>
        <w:t>期，</w:t>
      </w:r>
      <w:r>
        <w:rPr>
          <w:rFonts w:hint="eastAsia"/>
        </w:rPr>
        <w:t>在项目</w:t>
      </w:r>
      <w:r>
        <w:t>专用合同条款中</w:t>
      </w:r>
      <w:r>
        <w:rPr>
          <w:rFonts w:hint="eastAsia"/>
        </w:rPr>
        <w:t>应</w:t>
      </w:r>
      <w:r>
        <w:t>增加</w:t>
      </w:r>
      <w:r>
        <w:rPr>
          <w:rFonts w:hint="eastAsia"/>
        </w:rPr>
        <w:t>保证承包人在履约</w:t>
      </w:r>
      <w:r>
        <w:t>保函失效</w:t>
      </w:r>
      <w:r>
        <w:rPr>
          <w:rFonts w:hint="eastAsia"/>
        </w:rPr>
        <w:t>日</w:t>
      </w:r>
      <w:r>
        <w:t>前向发包人出具后续阶段履约保函</w:t>
      </w:r>
      <w:r>
        <w:rPr>
          <w:rFonts w:hint="eastAsia"/>
        </w:rPr>
        <w:t>的约束性</w:t>
      </w:r>
      <w:r>
        <w:t>条款，直至发包人签发交工验收证书</w:t>
      </w:r>
      <w:r>
        <w:rPr>
          <w:rFonts w:hint="eastAsia"/>
        </w:rPr>
        <w:t>且承包人按照合同约定缴纳质量保证金</w:t>
      </w:r>
      <w:r>
        <w:t>之日</w:t>
      </w:r>
      <w:r>
        <w:rPr>
          <w:rFonts w:hint="eastAsia"/>
        </w:rPr>
        <w:t>为止</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3"/>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3"/>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left="1470" w:right="1470"/>
      <w:rPr>
        <w:rFonts w:eastAsia="隶书"/>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3"/>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left="1470" w:right="147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174EAC"/>
    <w:multiLevelType w:val="multilevel"/>
    <w:tmpl w:val="1C174EAC"/>
    <w:lvl w:ilvl="0" w:tentative="0">
      <w:start w:val="1"/>
      <w:numFmt w:val="decimal"/>
      <w:lvlText w:val="(%1)"/>
      <w:lvlJc w:val="left"/>
      <w:pPr>
        <w:tabs>
          <w:tab w:val="left" w:pos="1440"/>
        </w:tabs>
        <w:ind w:left="1440" w:hanging="480"/>
      </w:pPr>
      <w:rPr>
        <w:rFonts w:hint="default"/>
      </w:rPr>
    </w:lvl>
    <w:lvl w:ilvl="1" w:tentative="0">
      <w:start w:val="1"/>
      <w:numFmt w:val="japaneseCounting"/>
      <w:lvlText w:val="%2、"/>
      <w:lvlJc w:val="left"/>
      <w:pPr>
        <w:tabs>
          <w:tab w:val="left" w:pos="2025"/>
        </w:tabs>
        <w:ind w:left="2025" w:hanging="645"/>
      </w:pPr>
      <w:rPr>
        <w:rFonts w:hint="eastAsia"/>
      </w:rPr>
    </w:lvl>
    <w:lvl w:ilvl="2" w:tentative="0">
      <w:start w:val="7"/>
      <w:numFmt w:val="japaneseCounting"/>
      <w:lvlText w:val="第%3章"/>
      <w:lvlJc w:val="left"/>
      <w:pPr>
        <w:tabs>
          <w:tab w:val="left" w:pos="3105"/>
        </w:tabs>
        <w:ind w:left="3105" w:hanging="1305"/>
      </w:pPr>
      <w:rPr>
        <w:rFonts w:hint="eastAsia"/>
      </w:rPr>
    </w:lvl>
    <w:lvl w:ilvl="3" w:tentative="0">
      <w:start w:val="1"/>
      <w:numFmt w:val="decimalEnclosedCircle"/>
      <w:lvlText w:val="%4"/>
      <w:lvlJc w:val="left"/>
      <w:pPr>
        <w:tabs>
          <w:tab w:val="left" w:pos="2580"/>
        </w:tabs>
        <w:ind w:left="2580" w:hanging="360"/>
      </w:pPr>
      <w:rPr>
        <w:rFonts w:hint="eastAsia"/>
      </w:rPr>
    </w:lvl>
    <w:lvl w:ilvl="4" w:tentative="0">
      <w:start w:val="1"/>
      <w:numFmt w:val="lowerLetter"/>
      <w:lvlText w:val="%5)"/>
      <w:lvlJc w:val="left"/>
      <w:pPr>
        <w:tabs>
          <w:tab w:val="left" w:pos="3060"/>
        </w:tabs>
        <w:ind w:left="3060" w:hanging="420"/>
      </w:pPr>
    </w:lvl>
    <w:lvl w:ilvl="5" w:tentative="0">
      <w:start w:val="1"/>
      <w:numFmt w:val="lowerRoman"/>
      <w:lvlText w:val="%6."/>
      <w:lvlJc w:val="right"/>
      <w:pPr>
        <w:tabs>
          <w:tab w:val="left" w:pos="3480"/>
        </w:tabs>
        <w:ind w:left="3480" w:hanging="420"/>
      </w:pPr>
    </w:lvl>
    <w:lvl w:ilvl="6" w:tentative="0">
      <w:start w:val="1"/>
      <w:numFmt w:val="decimal"/>
      <w:lvlText w:val="%7."/>
      <w:lvlJc w:val="left"/>
      <w:pPr>
        <w:tabs>
          <w:tab w:val="left" w:pos="3900"/>
        </w:tabs>
        <w:ind w:left="3900" w:hanging="420"/>
      </w:pPr>
    </w:lvl>
    <w:lvl w:ilvl="7" w:tentative="0">
      <w:start w:val="1"/>
      <w:numFmt w:val="lowerLetter"/>
      <w:lvlText w:val="%8)"/>
      <w:lvlJc w:val="left"/>
      <w:pPr>
        <w:tabs>
          <w:tab w:val="left" w:pos="4320"/>
        </w:tabs>
        <w:ind w:left="4320" w:hanging="420"/>
      </w:pPr>
    </w:lvl>
    <w:lvl w:ilvl="8" w:tentative="0">
      <w:start w:val="1"/>
      <w:numFmt w:val="lowerRoman"/>
      <w:lvlText w:val="%9."/>
      <w:lvlJc w:val="right"/>
      <w:pPr>
        <w:tabs>
          <w:tab w:val="left" w:pos="4740"/>
        </w:tabs>
        <w:ind w:left="4740" w:hanging="420"/>
      </w:pPr>
    </w:lvl>
  </w:abstractNum>
  <w:abstractNum w:abstractNumId="1">
    <w:nsid w:val="60AE39CC"/>
    <w:multiLevelType w:val="multilevel"/>
    <w:tmpl w:val="60AE39CC"/>
    <w:lvl w:ilvl="0" w:tentative="0">
      <w:start w:val="1"/>
      <w:numFmt w:val="none"/>
      <w:pStyle w:val="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5"/>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documentProtection w:edit="readOnly" w:enforcement="1" w:cryptProviderType="rsaFull" w:cryptAlgorithmClass="hash" w:cryptAlgorithmType="typeAny" w:cryptAlgorithmSid="4" w:cryptSpinCount="0" w:hash="iXGTIL2nLoIHWwKRy34h1/0DbPs=" w:salt="87SA4GZwy2zftGXhz9hNHA=="/>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30"/>
    <w:footnote w:id="31"/>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221EB1"/>
    <w:rsid w:val="00000C5F"/>
    <w:rsid w:val="00000E0D"/>
    <w:rsid w:val="000012BD"/>
    <w:rsid w:val="00001717"/>
    <w:rsid w:val="000019A4"/>
    <w:rsid w:val="00002002"/>
    <w:rsid w:val="0000202A"/>
    <w:rsid w:val="0000282F"/>
    <w:rsid w:val="00003041"/>
    <w:rsid w:val="00003CA6"/>
    <w:rsid w:val="000041EF"/>
    <w:rsid w:val="00004393"/>
    <w:rsid w:val="000044DB"/>
    <w:rsid w:val="0000460F"/>
    <w:rsid w:val="00005BA2"/>
    <w:rsid w:val="00006A3E"/>
    <w:rsid w:val="00006D3A"/>
    <w:rsid w:val="00006DE0"/>
    <w:rsid w:val="00007760"/>
    <w:rsid w:val="00007B64"/>
    <w:rsid w:val="00007D78"/>
    <w:rsid w:val="00010DD0"/>
    <w:rsid w:val="00011E2A"/>
    <w:rsid w:val="00011F01"/>
    <w:rsid w:val="00013AC0"/>
    <w:rsid w:val="00014019"/>
    <w:rsid w:val="0001432E"/>
    <w:rsid w:val="000148BB"/>
    <w:rsid w:val="0001566A"/>
    <w:rsid w:val="00015ADB"/>
    <w:rsid w:val="000160C6"/>
    <w:rsid w:val="00016216"/>
    <w:rsid w:val="00017D8B"/>
    <w:rsid w:val="0002069D"/>
    <w:rsid w:val="00023731"/>
    <w:rsid w:val="00023CB4"/>
    <w:rsid w:val="00023D84"/>
    <w:rsid w:val="00024963"/>
    <w:rsid w:val="0002560E"/>
    <w:rsid w:val="000256AB"/>
    <w:rsid w:val="00026079"/>
    <w:rsid w:val="000267EA"/>
    <w:rsid w:val="00027A59"/>
    <w:rsid w:val="000305F8"/>
    <w:rsid w:val="00031407"/>
    <w:rsid w:val="00031CA7"/>
    <w:rsid w:val="00031FA7"/>
    <w:rsid w:val="00032DF0"/>
    <w:rsid w:val="00034449"/>
    <w:rsid w:val="000348AA"/>
    <w:rsid w:val="00034EEA"/>
    <w:rsid w:val="00035502"/>
    <w:rsid w:val="0003574E"/>
    <w:rsid w:val="000357B2"/>
    <w:rsid w:val="0003606A"/>
    <w:rsid w:val="00036D44"/>
    <w:rsid w:val="00037FDA"/>
    <w:rsid w:val="000411E8"/>
    <w:rsid w:val="00041F55"/>
    <w:rsid w:val="0004211B"/>
    <w:rsid w:val="00042218"/>
    <w:rsid w:val="00042289"/>
    <w:rsid w:val="00043210"/>
    <w:rsid w:val="0004372E"/>
    <w:rsid w:val="00046578"/>
    <w:rsid w:val="00046E8E"/>
    <w:rsid w:val="000510AB"/>
    <w:rsid w:val="0005144D"/>
    <w:rsid w:val="00051494"/>
    <w:rsid w:val="00051830"/>
    <w:rsid w:val="00053656"/>
    <w:rsid w:val="00053BE9"/>
    <w:rsid w:val="00053FCC"/>
    <w:rsid w:val="000540A2"/>
    <w:rsid w:val="0005444D"/>
    <w:rsid w:val="00054970"/>
    <w:rsid w:val="00055899"/>
    <w:rsid w:val="00055FE4"/>
    <w:rsid w:val="00056AE5"/>
    <w:rsid w:val="00056C70"/>
    <w:rsid w:val="00057E7F"/>
    <w:rsid w:val="00060ECA"/>
    <w:rsid w:val="00061B5A"/>
    <w:rsid w:val="000622D8"/>
    <w:rsid w:val="00062827"/>
    <w:rsid w:val="00062CE4"/>
    <w:rsid w:val="00062EAC"/>
    <w:rsid w:val="000632E2"/>
    <w:rsid w:val="000642B6"/>
    <w:rsid w:val="00064C17"/>
    <w:rsid w:val="00064FD8"/>
    <w:rsid w:val="00065370"/>
    <w:rsid w:val="0006580E"/>
    <w:rsid w:val="0006786E"/>
    <w:rsid w:val="0007010F"/>
    <w:rsid w:val="000709BF"/>
    <w:rsid w:val="0007107F"/>
    <w:rsid w:val="00071CB9"/>
    <w:rsid w:val="00072951"/>
    <w:rsid w:val="0007299D"/>
    <w:rsid w:val="000734D7"/>
    <w:rsid w:val="00073E40"/>
    <w:rsid w:val="00073EF4"/>
    <w:rsid w:val="00074974"/>
    <w:rsid w:val="00074BB5"/>
    <w:rsid w:val="00074E42"/>
    <w:rsid w:val="000758A4"/>
    <w:rsid w:val="00075A74"/>
    <w:rsid w:val="00075CCC"/>
    <w:rsid w:val="00075D19"/>
    <w:rsid w:val="00075D30"/>
    <w:rsid w:val="00075D6A"/>
    <w:rsid w:val="00076D77"/>
    <w:rsid w:val="000775B8"/>
    <w:rsid w:val="00077E33"/>
    <w:rsid w:val="000820DE"/>
    <w:rsid w:val="0008328F"/>
    <w:rsid w:val="0008353E"/>
    <w:rsid w:val="00083911"/>
    <w:rsid w:val="00085FE7"/>
    <w:rsid w:val="00086097"/>
    <w:rsid w:val="0008653B"/>
    <w:rsid w:val="00086E6D"/>
    <w:rsid w:val="000879C4"/>
    <w:rsid w:val="00087BEE"/>
    <w:rsid w:val="0009039B"/>
    <w:rsid w:val="000905AE"/>
    <w:rsid w:val="00091041"/>
    <w:rsid w:val="00091B50"/>
    <w:rsid w:val="0009245E"/>
    <w:rsid w:val="00093FA0"/>
    <w:rsid w:val="000944FA"/>
    <w:rsid w:val="00094CDF"/>
    <w:rsid w:val="000967A8"/>
    <w:rsid w:val="000968DE"/>
    <w:rsid w:val="00096ADE"/>
    <w:rsid w:val="00097EF9"/>
    <w:rsid w:val="000A04B4"/>
    <w:rsid w:val="000A2B6D"/>
    <w:rsid w:val="000A308B"/>
    <w:rsid w:val="000A35B2"/>
    <w:rsid w:val="000A39E2"/>
    <w:rsid w:val="000A49E6"/>
    <w:rsid w:val="000A5061"/>
    <w:rsid w:val="000A527C"/>
    <w:rsid w:val="000A55CC"/>
    <w:rsid w:val="000A6079"/>
    <w:rsid w:val="000A625A"/>
    <w:rsid w:val="000A650D"/>
    <w:rsid w:val="000B016F"/>
    <w:rsid w:val="000B0BD3"/>
    <w:rsid w:val="000B0D40"/>
    <w:rsid w:val="000B1319"/>
    <w:rsid w:val="000B1D32"/>
    <w:rsid w:val="000B233D"/>
    <w:rsid w:val="000B2E96"/>
    <w:rsid w:val="000B59D1"/>
    <w:rsid w:val="000B69AC"/>
    <w:rsid w:val="000B7047"/>
    <w:rsid w:val="000B76DE"/>
    <w:rsid w:val="000B7C91"/>
    <w:rsid w:val="000B7CA5"/>
    <w:rsid w:val="000C0FEC"/>
    <w:rsid w:val="000C196C"/>
    <w:rsid w:val="000C1EA6"/>
    <w:rsid w:val="000C22D5"/>
    <w:rsid w:val="000C22FC"/>
    <w:rsid w:val="000C3426"/>
    <w:rsid w:val="000C3D21"/>
    <w:rsid w:val="000C3E1A"/>
    <w:rsid w:val="000C53A1"/>
    <w:rsid w:val="000C5937"/>
    <w:rsid w:val="000C6496"/>
    <w:rsid w:val="000C6BD7"/>
    <w:rsid w:val="000C7D04"/>
    <w:rsid w:val="000D0AAF"/>
    <w:rsid w:val="000D1BD7"/>
    <w:rsid w:val="000D22D2"/>
    <w:rsid w:val="000D58AD"/>
    <w:rsid w:val="000D7DB6"/>
    <w:rsid w:val="000E062C"/>
    <w:rsid w:val="000E1970"/>
    <w:rsid w:val="000E1A48"/>
    <w:rsid w:val="000E3A6C"/>
    <w:rsid w:val="000E3B9D"/>
    <w:rsid w:val="000E5095"/>
    <w:rsid w:val="000E5146"/>
    <w:rsid w:val="000E52FB"/>
    <w:rsid w:val="000E65D1"/>
    <w:rsid w:val="000E6B8F"/>
    <w:rsid w:val="000E6F12"/>
    <w:rsid w:val="000E75A6"/>
    <w:rsid w:val="000E766E"/>
    <w:rsid w:val="000E7919"/>
    <w:rsid w:val="000F102F"/>
    <w:rsid w:val="000F2618"/>
    <w:rsid w:val="000F2764"/>
    <w:rsid w:val="000F2BFA"/>
    <w:rsid w:val="000F3128"/>
    <w:rsid w:val="000F37CC"/>
    <w:rsid w:val="000F3D9C"/>
    <w:rsid w:val="000F41F2"/>
    <w:rsid w:val="000F4611"/>
    <w:rsid w:val="000F49BB"/>
    <w:rsid w:val="000F4E58"/>
    <w:rsid w:val="000F643E"/>
    <w:rsid w:val="000F68E0"/>
    <w:rsid w:val="000F7178"/>
    <w:rsid w:val="000F7580"/>
    <w:rsid w:val="000F786E"/>
    <w:rsid w:val="00100005"/>
    <w:rsid w:val="00101D4A"/>
    <w:rsid w:val="00101DA6"/>
    <w:rsid w:val="00102436"/>
    <w:rsid w:val="00102A79"/>
    <w:rsid w:val="00103057"/>
    <w:rsid w:val="001046CE"/>
    <w:rsid w:val="00104C04"/>
    <w:rsid w:val="00104C73"/>
    <w:rsid w:val="00104F5A"/>
    <w:rsid w:val="00105740"/>
    <w:rsid w:val="00105FD3"/>
    <w:rsid w:val="00107BDB"/>
    <w:rsid w:val="0011003D"/>
    <w:rsid w:val="0011007C"/>
    <w:rsid w:val="001100DA"/>
    <w:rsid w:val="00110498"/>
    <w:rsid w:val="001105A2"/>
    <w:rsid w:val="00111A67"/>
    <w:rsid w:val="00112E6B"/>
    <w:rsid w:val="0011353F"/>
    <w:rsid w:val="00113934"/>
    <w:rsid w:val="001139DB"/>
    <w:rsid w:val="00114B27"/>
    <w:rsid w:val="00114F12"/>
    <w:rsid w:val="00114F2E"/>
    <w:rsid w:val="00115791"/>
    <w:rsid w:val="001165D4"/>
    <w:rsid w:val="00116D5C"/>
    <w:rsid w:val="0011772E"/>
    <w:rsid w:val="001177F4"/>
    <w:rsid w:val="00121798"/>
    <w:rsid w:val="001217AD"/>
    <w:rsid w:val="00121AFA"/>
    <w:rsid w:val="00122AC0"/>
    <w:rsid w:val="00122C6B"/>
    <w:rsid w:val="00122D0F"/>
    <w:rsid w:val="00123099"/>
    <w:rsid w:val="00123226"/>
    <w:rsid w:val="00123654"/>
    <w:rsid w:val="0012368F"/>
    <w:rsid w:val="001238CE"/>
    <w:rsid w:val="00123B20"/>
    <w:rsid w:val="001254E0"/>
    <w:rsid w:val="00125747"/>
    <w:rsid w:val="00126B97"/>
    <w:rsid w:val="00126C43"/>
    <w:rsid w:val="001275F9"/>
    <w:rsid w:val="00127FC2"/>
    <w:rsid w:val="001306C6"/>
    <w:rsid w:val="001332A4"/>
    <w:rsid w:val="001340F0"/>
    <w:rsid w:val="001347CE"/>
    <w:rsid w:val="00134FCE"/>
    <w:rsid w:val="001358FF"/>
    <w:rsid w:val="00137B5A"/>
    <w:rsid w:val="00137BA7"/>
    <w:rsid w:val="00137DAF"/>
    <w:rsid w:val="00137E94"/>
    <w:rsid w:val="00137FBD"/>
    <w:rsid w:val="00140CF5"/>
    <w:rsid w:val="0014120A"/>
    <w:rsid w:val="0014255B"/>
    <w:rsid w:val="00142647"/>
    <w:rsid w:val="00143363"/>
    <w:rsid w:val="0014436A"/>
    <w:rsid w:val="001466AC"/>
    <w:rsid w:val="00147CE6"/>
    <w:rsid w:val="00151F79"/>
    <w:rsid w:val="00152F54"/>
    <w:rsid w:val="00153409"/>
    <w:rsid w:val="00153AB0"/>
    <w:rsid w:val="00154507"/>
    <w:rsid w:val="00154E6E"/>
    <w:rsid w:val="00155B08"/>
    <w:rsid w:val="001560A1"/>
    <w:rsid w:val="0015624F"/>
    <w:rsid w:val="001564FB"/>
    <w:rsid w:val="00156571"/>
    <w:rsid w:val="0015660C"/>
    <w:rsid w:val="00156621"/>
    <w:rsid w:val="0015718B"/>
    <w:rsid w:val="0016071B"/>
    <w:rsid w:val="001607D1"/>
    <w:rsid w:val="0016087D"/>
    <w:rsid w:val="00160916"/>
    <w:rsid w:val="001617F5"/>
    <w:rsid w:val="00164824"/>
    <w:rsid w:val="001652DE"/>
    <w:rsid w:val="0016555E"/>
    <w:rsid w:val="0016797D"/>
    <w:rsid w:val="00167B61"/>
    <w:rsid w:val="00170207"/>
    <w:rsid w:val="00171AA2"/>
    <w:rsid w:val="001721DA"/>
    <w:rsid w:val="0017241C"/>
    <w:rsid w:val="00172510"/>
    <w:rsid w:val="00172A4B"/>
    <w:rsid w:val="00172F18"/>
    <w:rsid w:val="001730D8"/>
    <w:rsid w:val="0017342F"/>
    <w:rsid w:val="00173DDB"/>
    <w:rsid w:val="00174408"/>
    <w:rsid w:val="00174A2D"/>
    <w:rsid w:val="0017526B"/>
    <w:rsid w:val="00175527"/>
    <w:rsid w:val="00175DA4"/>
    <w:rsid w:val="00176DCC"/>
    <w:rsid w:val="00176E00"/>
    <w:rsid w:val="00176FC0"/>
    <w:rsid w:val="00177D27"/>
    <w:rsid w:val="0018045F"/>
    <w:rsid w:val="00180AFA"/>
    <w:rsid w:val="001813D4"/>
    <w:rsid w:val="001830FB"/>
    <w:rsid w:val="0018422B"/>
    <w:rsid w:val="0018425F"/>
    <w:rsid w:val="001848C9"/>
    <w:rsid w:val="001855F4"/>
    <w:rsid w:val="00185ACD"/>
    <w:rsid w:val="0018603E"/>
    <w:rsid w:val="001860C9"/>
    <w:rsid w:val="001864F0"/>
    <w:rsid w:val="00186573"/>
    <w:rsid w:val="0018713A"/>
    <w:rsid w:val="001871B4"/>
    <w:rsid w:val="001874BD"/>
    <w:rsid w:val="00187C48"/>
    <w:rsid w:val="00187E7D"/>
    <w:rsid w:val="00190351"/>
    <w:rsid w:val="00190722"/>
    <w:rsid w:val="00191159"/>
    <w:rsid w:val="00191A8C"/>
    <w:rsid w:val="00191CE5"/>
    <w:rsid w:val="00192352"/>
    <w:rsid w:val="0019268A"/>
    <w:rsid w:val="00194B13"/>
    <w:rsid w:val="00194B98"/>
    <w:rsid w:val="00196792"/>
    <w:rsid w:val="00196A08"/>
    <w:rsid w:val="00197052"/>
    <w:rsid w:val="0019734A"/>
    <w:rsid w:val="00197639"/>
    <w:rsid w:val="00197899"/>
    <w:rsid w:val="00197B10"/>
    <w:rsid w:val="001A2B98"/>
    <w:rsid w:val="001A4F06"/>
    <w:rsid w:val="001A6094"/>
    <w:rsid w:val="001A71EB"/>
    <w:rsid w:val="001A7403"/>
    <w:rsid w:val="001B14E2"/>
    <w:rsid w:val="001B3A77"/>
    <w:rsid w:val="001B4110"/>
    <w:rsid w:val="001B4919"/>
    <w:rsid w:val="001B58F1"/>
    <w:rsid w:val="001B5A2B"/>
    <w:rsid w:val="001B5FCC"/>
    <w:rsid w:val="001B6405"/>
    <w:rsid w:val="001B7288"/>
    <w:rsid w:val="001B794E"/>
    <w:rsid w:val="001B7BE0"/>
    <w:rsid w:val="001C0326"/>
    <w:rsid w:val="001C0CF2"/>
    <w:rsid w:val="001C1CA4"/>
    <w:rsid w:val="001C4627"/>
    <w:rsid w:val="001C4913"/>
    <w:rsid w:val="001C4D55"/>
    <w:rsid w:val="001C4D86"/>
    <w:rsid w:val="001C5AF9"/>
    <w:rsid w:val="001C6B16"/>
    <w:rsid w:val="001D0172"/>
    <w:rsid w:val="001D03DC"/>
    <w:rsid w:val="001D12F5"/>
    <w:rsid w:val="001D22E7"/>
    <w:rsid w:val="001D4085"/>
    <w:rsid w:val="001D4237"/>
    <w:rsid w:val="001D45DA"/>
    <w:rsid w:val="001D471A"/>
    <w:rsid w:val="001D47E7"/>
    <w:rsid w:val="001D4F0D"/>
    <w:rsid w:val="001D6837"/>
    <w:rsid w:val="001E0419"/>
    <w:rsid w:val="001E10A7"/>
    <w:rsid w:val="001E2867"/>
    <w:rsid w:val="001E2C09"/>
    <w:rsid w:val="001E4DA3"/>
    <w:rsid w:val="001E5768"/>
    <w:rsid w:val="001E5B5D"/>
    <w:rsid w:val="001E6BB7"/>
    <w:rsid w:val="001E70F4"/>
    <w:rsid w:val="001F0073"/>
    <w:rsid w:val="001F0A1C"/>
    <w:rsid w:val="001F1D58"/>
    <w:rsid w:val="001F22B2"/>
    <w:rsid w:val="001F2442"/>
    <w:rsid w:val="001F2B24"/>
    <w:rsid w:val="001F3B25"/>
    <w:rsid w:val="001F3E58"/>
    <w:rsid w:val="001F47A2"/>
    <w:rsid w:val="001F4DB6"/>
    <w:rsid w:val="001F5459"/>
    <w:rsid w:val="001F5724"/>
    <w:rsid w:val="001F5B20"/>
    <w:rsid w:val="001F5F41"/>
    <w:rsid w:val="001F62D7"/>
    <w:rsid w:val="001F67DA"/>
    <w:rsid w:val="00200377"/>
    <w:rsid w:val="00200BC6"/>
    <w:rsid w:val="00201479"/>
    <w:rsid w:val="0020200C"/>
    <w:rsid w:val="002020FF"/>
    <w:rsid w:val="0020220B"/>
    <w:rsid w:val="00202269"/>
    <w:rsid w:val="00202A39"/>
    <w:rsid w:val="00203189"/>
    <w:rsid w:val="002043F1"/>
    <w:rsid w:val="00204AC9"/>
    <w:rsid w:val="00204C2C"/>
    <w:rsid w:val="00205440"/>
    <w:rsid w:val="002068E5"/>
    <w:rsid w:val="00211003"/>
    <w:rsid w:val="00211C99"/>
    <w:rsid w:val="002125FD"/>
    <w:rsid w:val="00214649"/>
    <w:rsid w:val="00214BA4"/>
    <w:rsid w:val="00214EEE"/>
    <w:rsid w:val="0021520E"/>
    <w:rsid w:val="002155C9"/>
    <w:rsid w:val="002157F2"/>
    <w:rsid w:val="00215E75"/>
    <w:rsid w:val="002165F4"/>
    <w:rsid w:val="002178C0"/>
    <w:rsid w:val="00220DA5"/>
    <w:rsid w:val="00221EB1"/>
    <w:rsid w:val="00221EB2"/>
    <w:rsid w:val="0022283D"/>
    <w:rsid w:val="00222967"/>
    <w:rsid w:val="0022302C"/>
    <w:rsid w:val="0022318B"/>
    <w:rsid w:val="002238BE"/>
    <w:rsid w:val="00223938"/>
    <w:rsid w:val="002243E1"/>
    <w:rsid w:val="00224A75"/>
    <w:rsid w:val="00225147"/>
    <w:rsid w:val="00225D2C"/>
    <w:rsid w:val="002267F1"/>
    <w:rsid w:val="00226F0F"/>
    <w:rsid w:val="0022748B"/>
    <w:rsid w:val="00230349"/>
    <w:rsid w:val="002307CB"/>
    <w:rsid w:val="00231FCF"/>
    <w:rsid w:val="002326B9"/>
    <w:rsid w:val="00233283"/>
    <w:rsid w:val="0023351A"/>
    <w:rsid w:val="00234CBA"/>
    <w:rsid w:val="00234F59"/>
    <w:rsid w:val="00235393"/>
    <w:rsid w:val="00235775"/>
    <w:rsid w:val="00236873"/>
    <w:rsid w:val="00240242"/>
    <w:rsid w:val="00241234"/>
    <w:rsid w:val="002414D8"/>
    <w:rsid w:val="002415B3"/>
    <w:rsid w:val="002416A9"/>
    <w:rsid w:val="00241F99"/>
    <w:rsid w:val="0024361D"/>
    <w:rsid w:val="002438F0"/>
    <w:rsid w:val="00243EA4"/>
    <w:rsid w:val="00243EB1"/>
    <w:rsid w:val="0024541E"/>
    <w:rsid w:val="00245441"/>
    <w:rsid w:val="00247A70"/>
    <w:rsid w:val="002502AC"/>
    <w:rsid w:val="0025051E"/>
    <w:rsid w:val="0025057D"/>
    <w:rsid w:val="002512EE"/>
    <w:rsid w:val="00251401"/>
    <w:rsid w:val="002515B2"/>
    <w:rsid w:val="00251C4D"/>
    <w:rsid w:val="00253512"/>
    <w:rsid w:val="00254D46"/>
    <w:rsid w:val="0025528B"/>
    <w:rsid w:val="002555B7"/>
    <w:rsid w:val="00255BB6"/>
    <w:rsid w:val="00255F82"/>
    <w:rsid w:val="00256DF0"/>
    <w:rsid w:val="00256FA4"/>
    <w:rsid w:val="002576A7"/>
    <w:rsid w:val="00260599"/>
    <w:rsid w:val="00260665"/>
    <w:rsid w:val="00260A3D"/>
    <w:rsid w:val="00260EB5"/>
    <w:rsid w:val="00260F13"/>
    <w:rsid w:val="002613A6"/>
    <w:rsid w:val="002635F8"/>
    <w:rsid w:val="002650B9"/>
    <w:rsid w:val="00265155"/>
    <w:rsid w:val="00265F56"/>
    <w:rsid w:val="00266491"/>
    <w:rsid w:val="00266725"/>
    <w:rsid w:val="00266FD0"/>
    <w:rsid w:val="00266FFF"/>
    <w:rsid w:val="002671A0"/>
    <w:rsid w:val="00267205"/>
    <w:rsid w:val="0027014A"/>
    <w:rsid w:val="0027121C"/>
    <w:rsid w:val="002716C9"/>
    <w:rsid w:val="00271FCA"/>
    <w:rsid w:val="0027462D"/>
    <w:rsid w:val="00274768"/>
    <w:rsid w:val="00274965"/>
    <w:rsid w:val="002749AA"/>
    <w:rsid w:val="0027547D"/>
    <w:rsid w:val="00275883"/>
    <w:rsid w:val="0027770C"/>
    <w:rsid w:val="0028036C"/>
    <w:rsid w:val="002804AC"/>
    <w:rsid w:val="00281070"/>
    <w:rsid w:val="00281537"/>
    <w:rsid w:val="00281BFB"/>
    <w:rsid w:val="00282566"/>
    <w:rsid w:val="00282755"/>
    <w:rsid w:val="00283DB8"/>
    <w:rsid w:val="002845BA"/>
    <w:rsid w:val="002862DB"/>
    <w:rsid w:val="002863B9"/>
    <w:rsid w:val="00286C00"/>
    <w:rsid w:val="00286C2C"/>
    <w:rsid w:val="00286F8B"/>
    <w:rsid w:val="00287434"/>
    <w:rsid w:val="00287487"/>
    <w:rsid w:val="00290726"/>
    <w:rsid w:val="00290809"/>
    <w:rsid w:val="00290882"/>
    <w:rsid w:val="002909A1"/>
    <w:rsid w:val="00291604"/>
    <w:rsid w:val="002921ED"/>
    <w:rsid w:val="00292F40"/>
    <w:rsid w:val="00293753"/>
    <w:rsid w:val="00293E5C"/>
    <w:rsid w:val="00295328"/>
    <w:rsid w:val="0029587A"/>
    <w:rsid w:val="00295C6C"/>
    <w:rsid w:val="002963AB"/>
    <w:rsid w:val="00296878"/>
    <w:rsid w:val="00296976"/>
    <w:rsid w:val="0029795D"/>
    <w:rsid w:val="002A222F"/>
    <w:rsid w:val="002A45DB"/>
    <w:rsid w:val="002A462C"/>
    <w:rsid w:val="002A4C98"/>
    <w:rsid w:val="002A5282"/>
    <w:rsid w:val="002A5A99"/>
    <w:rsid w:val="002A60DC"/>
    <w:rsid w:val="002A6BF8"/>
    <w:rsid w:val="002A72B7"/>
    <w:rsid w:val="002B09A2"/>
    <w:rsid w:val="002B10C7"/>
    <w:rsid w:val="002B2A8E"/>
    <w:rsid w:val="002B2D14"/>
    <w:rsid w:val="002B32ED"/>
    <w:rsid w:val="002B4326"/>
    <w:rsid w:val="002B4ABC"/>
    <w:rsid w:val="002B4F46"/>
    <w:rsid w:val="002B50C0"/>
    <w:rsid w:val="002B51AB"/>
    <w:rsid w:val="002B6D42"/>
    <w:rsid w:val="002B6ED1"/>
    <w:rsid w:val="002C0432"/>
    <w:rsid w:val="002C0D5D"/>
    <w:rsid w:val="002C0FA1"/>
    <w:rsid w:val="002C2B16"/>
    <w:rsid w:val="002C3267"/>
    <w:rsid w:val="002C4910"/>
    <w:rsid w:val="002C4A6E"/>
    <w:rsid w:val="002C592B"/>
    <w:rsid w:val="002C5CC9"/>
    <w:rsid w:val="002C5F1C"/>
    <w:rsid w:val="002C5FBA"/>
    <w:rsid w:val="002C60FF"/>
    <w:rsid w:val="002C6D9B"/>
    <w:rsid w:val="002C6F9D"/>
    <w:rsid w:val="002C70A5"/>
    <w:rsid w:val="002C759F"/>
    <w:rsid w:val="002C7917"/>
    <w:rsid w:val="002D0F09"/>
    <w:rsid w:val="002D0FC4"/>
    <w:rsid w:val="002D103F"/>
    <w:rsid w:val="002D1C31"/>
    <w:rsid w:val="002D4824"/>
    <w:rsid w:val="002D4833"/>
    <w:rsid w:val="002D4A98"/>
    <w:rsid w:val="002D5094"/>
    <w:rsid w:val="002D6243"/>
    <w:rsid w:val="002D7473"/>
    <w:rsid w:val="002E16FE"/>
    <w:rsid w:val="002E178A"/>
    <w:rsid w:val="002E18CA"/>
    <w:rsid w:val="002E2D19"/>
    <w:rsid w:val="002E38BA"/>
    <w:rsid w:val="002E4462"/>
    <w:rsid w:val="002E4567"/>
    <w:rsid w:val="002E4E91"/>
    <w:rsid w:val="002E5B5B"/>
    <w:rsid w:val="002E6819"/>
    <w:rsid w:val="002E6A49"/>
    <w:rsid w:val="002E6F09"/>
    <w:rsid w:val="002E7FE3"/>
    <w:rsid w:val="002F0025"/>
    <w:rsid w:val="002F0670"/>
    <w:rsid w:val="002F0719"/>
    <w:rsid w:val="002F1309"/>
    <w:rsid w:val="002F1397"/>
    <w:rsid w:val="002F1692"/>
    <w:rsid w:val="002F3155"/>
    <w:rsid w:val="002F3F0B"/>
    <w:rsid w:val="002F43B5"/>
    <w:rsid w:val="002F49FA"/>
    <w:rsid w:val="002F527A"/>
    <w:rsid w:val="002F5B38"/>
    <w:rsid w:val="002F6464"/>
    <w:rsid w:val="002F65EC"/>
    <w:rsid w:val="002F73A2"/>
    <w:rsid w:val="002F7EB2"/>
    <w:rsid w:val="0030186D"/>
    <w:rsid w:val="003025F1"/>
    <w:rsid w:val="00302A2C"/>
    <w:rsid w:val="003030B3"/>
    <w:rsid w:val="003036A2"/>
    <w:rsid w:val="003038E9"/>
    <w:rsid w:val="00304394"/>
    <w:rsid w:val="003056C6"/>
    <w:rsid w:val="00307771"/>
    <w:rsid w:val="00307FDB"/>
    <w:rsid w:val="003100EF"/>
    <w:rsid w:val="003106D0"/>
    <w:rsid w:val="00312671"/>
    <w:rsid w:val="00312E63"/>
    <w:rsid w:val="003132F3"/>
    <w:rsid w:val="00313FD8"/>
    <w:rsid w:val="00314435"/>
    <w:rsid w:val="00316DC2"/>
    <w:rsid w:val="00317397"/>
    <w:rsid w:val="00321124"/>
    <w:rsid w:val="003213CB"/>
    <w:rsid w:val="00321BCD"/>
    <w:rsid w:val="00321E45"/>
    <w:rsid w:val="00321F0B"/>
    <w:rsid w:val="003220F9"/>
    <w:rsid w:val="003237D8"/>
    <w:rsid w:val="00323BFF"/>
    <w:rsid w:val="00323F9F"/>
    <w:rsid w:val="003242F5"/>
    <w:rsid w:val="0032432D"/>
    <w:rsid w:val="00324E13"/>
    <w:rsid w:val="00325A19"/>
    <w:rsid w:val="00325F07"/>
    <w:rsid w:val="00326A32"/>
    <w:rsid w:val="0033109C"/>
    <w:rsid w:val="003310AC"/>
    <w:rsid w:val="003327C5"/>
    <w:rsid w:val="00332D02"/>
    <w:rsid w:val="003330D5"/>
    <w:rsid w:val="00333443"/>
    <w:rsid w:val="003344B8"/>
    <w:rsid w:val="003347DC"/>
    <w:rsid w:val="003354BE"/>
    <w:rsid w:val="0033567E"/>
    <w:rsid w:val="00336635"/>
    <w:rsid w:val="00337262"/>
    <w:rsid w:val="003414FB"/>
    <w:rsid w:val="00341769"/>
    <w:rsid w:val="0034253A"/>
    <w:rsid w:val="0034284F"/>
    <w:rsid w:val="00343502"/>
    <w:rsid w:val="0034425E"/>
    <w:rsid w:val="003459E4"/>
    <w:rsid w:val="00345E09"/>
    <w:rsid w:val="00350DDA"/>
    <w:rsid w:val="00351B5F"/>
    <w:rsid w:val="00351B81"/>
    <w:rsid w:val="00351F23"/>
    <w:rsid w:val="00351FD4"/>
    <w:rsid w:val="00355991"/>
    <w:rsid w:val="003563FF"/>
    <w:rsid w:val="0035690B"/>
    <w:rsid w:val="00356AB4"/>
    <w:rsid w:val="00356D5B"/>
    <w:rsid w:val="003570DF"/>
    <w:rsid w:val="0035727F"/>
    <w:rsid w:val="003575FB"/>
    <w:rsid w:val="00360EAA"/>
    <w:rsid w:val="00361534"/>
    <w:rsid w:val="0036395C"/>
    <w:rsid w:val="003645B7"/>
    <w:rsid w:val="00365ED8"/>
    <w:rsid w:val="0036710F"/>
    <w:rsid w:val="00367758"/>
    <w:rsid w:val="00367941"/>
    <w:rsid w:val="0037041F"/>
    <w:rsid w:val="00370DE1"/>
    <w:rsid w:val="00370F37"/>
    <w:rsid w:val="0037210B"/>
    <w:rsid w:val="00372D45"/>
    <w:rsid w:val="00372FD2"/>
    <w:rsid w:val="00374247"/>
    <w:rsid w:val="00374B72"/>
    <w:rsid w:val="00374C86"/>
    <w:rsid w:val="00375A2A"/>
    <w:rsid w:val="00375BFE"/>
    <w:rsid w:val="00376090"/>
    <w:rsid w:val="00376313"/>
    <w:rsid w:val="00377368"/>
    <w:rsid w:val="003774DC"/>
    <w:rsid w:val="0038089A"/>
    <w:rsid w:val="003811A1"/>
    <w:rsid w:val="003818A6"/>
    <w:rsid w:val="00382C58"/>
    <w:rsid w:val="00382D3B"/>
    <w:rsid w:val="003844C8"/>
    <w:rsid w:val="00384DC0"/>
    <w:rsid w:val="00384DE6"/>
    <w:rsid w:val="00385028"/>
    <w:rsid w:val="0038562E"/>
    <w:rsid w:val="00385F92"/>
    <w:rsid w:val="00386B01"/>
    <w:rsid w:val="003905C8"/>
    <w:rsid w:val="00391E70"/>
    <w:rsid w:val="00392214"/>
    <w:rsid w:val="003935AC"/>
    <w:rsid w:val="003935D0"/>
    <w:rsid w:val="00394853"/>
    <w:rsid w:val="00394D0D"/>
    <w:rsid w:val="00395DED"/>
    <w:rsid w:val="00395F22"/>
    <w:rsid w:val="00396172"/>
    <w:rsid w:val="003970F6"/>
    <w:rsid w:val="003A0239"/>
    <w:rsid w:val="003A02A4"/>
    <w:rsid w:val="003A0D18"/>
    <w:rsid w:val="003A136A"/>
    <w:rsid w:val="003A17B1"/>
    <w:rsid w:val="003A1E44"/>
    <w:rsid w:val="003A231D"/>
    <w:rsid w:val="003A2B51"/>
    <w:rsid w:val="003A3DD0"/>
    <w:rsid w:val="003A588A"/>
    <w:rsid w:val="003A6DD6"/>
    <w:rsid w:val="003A7D1C"/>
    <w:rsid w:val="003B1898"/>
    <w:rsid w:val="003B319A"/>
    <w:rsid w:val="003B3C48"/>
    <w:rsid w:val="003B3FB8"/>
    <w:rsid w:val="003B55D8"/>
    <w:rsid w:val="003B58A6"/>
    <w:rsid w:val="003B6450"/>
    <w:rsid w:val="003B742E"/>
    <w:rsid w:val="003B7E8F"/>
    <w:rsid w:val="003C0A13"/>
    <w:rsid w:val="003C0EC7"/>
    <w:rsid w:val="003C1997"/>
    <w:rsid w:val="003C1C6A"/>
    <w:rsid w:val="003C2183"/>
    <w:rsid w:val="003C3381"/>
    <w:rsid w:val="003C3861"/>
    <w:rsid w:val="003C3AFA"/>
    <w:rsid w:val="003C438F"/>
    <w:rsid w:val="003C43C6"/>
    <w:rsid w:val="003C4644"/>
    <w:rsid w:val="003C4A9C"/>
    <w:rsid w:val="003C5B5D"/>
    <w:rsid w:val="003C5C43"/>
    <w:rsid w:val="003C6616"/>
    <w:rsid w:val="003C664E"/>
    <w:rsid w:val="003C6979"/>
    <w:rsid w:val="003C7669"/>
    <w:rsid w:val="003C7B60"/>
    <w:rsid w:val="003D045B"/>
    <w:rsid w:val="003D0851"/>
    <w:rsid w:val="003D0F49"/>
    <w:rsid w:val="003D10C7"/>
    <w:rsid w:val="003D1588"/>
    <w:rsid w:val="003D238F"/>
    <w:rsid w:val="003D45A6"/>
    <w:rsid w:val="003D4F9E"/>
    <w:rsid w:val="003E2B4F"/>
    <w:rsid w:val="003E2CE3"/>
    <w:rsid w:val="003E2D06"/>
    <w:rsid w:val="003E362E"/>
    <w:rsid w:val="003E50BE"/>
    <w:rsid w:val="003E5CF5"/>
    <w:rsid w:val="003E5F55"/>
    <w:rsid w:val="003E63BA"/>
    <w:rsid w:val="003E66F0"/>
    <w:rsid w:val="003E676E"/>
    <w:rsid w:val="003E777A"/>
    <w:rsid w:val="003E7D5C"/>
    <w:rsid w:val="003F022E"/>
    <w:rsid w:val="003F224D"/>
    <w:rsid w:val="003F232A"/>
    <w:rsid w:val="003F241B"/>
    <w:rsid w:val="003F4B21"/>
    <w:rsid w:val="003F61FB"/>
    <w:rsid w:val="003F6321"/>
    <w:rsid w:val="003F6E5D"/>
    <w:rsid w:val="003F719B"/>
    <w:rsid w:val="003F77F5"/>
    <w:rsid w:val="003F7B2F"/>
    <w:rsid w:val="00400AE6"/>
    <w:rsid w:val="00400C2B"/>
    <w:rsid w:val="00400E63"/>
    <w:rsid w:val="0040198C"/>
    <w:rsid w:val="00402CAB"/>
    <w:rsid w:val="0040438D"/>
    <w:rsid w:val="004049D6"/>
    <w:rsid w:val="00404F06"/>
    <w:rsid w:val="004057B8"/>
    <w:rsid w:val="00407389"/>
    <w:rsid w:val="00410DB2"/>
    <w:rsid w:val="00410DFD"/>
    <w:rsid w:val="0041262B"/>
    <w:rsid w:val="00412BCF"/>
    <w:rsid w:val="00412FEC"/>
    <w:rsid w:val="00413A19"/>
    <w:rsid w:val="004147AD"/>
    <w:rsid w:val="004154A8"/>
    <w:rsid w:val="00417082"/>
    <w:rsid w:val="004170B8"/>
    <w:rsid w:val="004178BA"/>
    <w:rsid w:val="00420C5C"/>
    <w:rsid w:val="00420E2F"/>
    <w:rsid w:val="004210E1"/>
    <w:rsid w:val="004218E1"/>
    <w:rsid w:val="004222C9"/>
    <w:rsid w:val="0042283E"/>
    <w:rsid w:val="00422879"/>
    <w:rsid w:val="0042287E"/>
    <w:rsid w:val="00423DD6"/>
    <w:rsid w:val="00424462"/>
    <w:rsid w:val="00424A3C"/>
    <w:rsid w:val="00425B7A"/>
    <w:rsid w:val="00427033"/>
    <w:rsid w:val="004270D1"/>
    <w:rsid w:val="0042739B"/>
    <w:rsid w:val="00432150"/>
    <w:rsid w:val="004323DE"/>
    <w:rsid w:val="00432881"/>
    <w:rsid w:val="004328B3"/>
    <w:rsid w:val="004334F6"/>
    <w:rsid w:val="00433ACC"/>
    <w:rsid w:val="00434B8F"/>
    <w:rsid w:val="004367AF"/>
    <w:rsid w:val="004375BD"/>
    <w:rsid w:val="00437B29"/>
    <w:rsid w:val="0044098A"/>
    <w:rsid w:val="00440B5F"/>
    <w:rsid w:val="00442877"/>
    <w:rsid w:val="004428C2"/>
    <w:rsid w:val="00442EBB"/>
    <w:rsid w:val="004432B5"/>
    <w:rsid w:val="0044455E"/>
    <w:rsid w:val="00444EF9"/>
    <w:rsid w:val="00445446"/>
    <w:rsid w:val="004458AE"/>
    <w:rsid w:val="00445BC9"/>
    <w:rsid w:val="00445E12"/>
    <w:rsid w:val="00447EBF"/>
    <w:rsid w:val="00450069"/>
    <w:rsid w:val="00450150"/>
    <w:rsid w:val="00450420"/>
    <w:rsid w:val="00450842"/>
    <w:rsid w:val="0045124C"/>
    <w:rsid w:val="00451E74"/>
    <w:rsid w:val="00452856"/>
    <w:rsid w:val="0045309E"/>
    <w:rsid w:val="00453FCF"/>
    <w:rsid w:val="004543E1"/>
    <w:rsid w:val="00454890"/>
    <w:rsid w:val="004553E3"/>
    <w:rsid w:val="004555B7"/>
    <w:rsid w:val="004566B8"/>
    <w:rsid w:val="00456955"/>
    <w:rsid w:val="004572EB"/>
    <w:rsid w:val="004602B6"/>
    <w:rsid w:val="00460B03"/>
    <w:rsid w:val="00460F44"/>
    <w:rsid w:val="004619F9"/>
    <w:rsid w:val="004620CF"/>
    <w:rsid w:val="00462EFD"/>
    <w:rsid w:val="00463550"/>
    <w:rsid w:val="00463562"/>
    <w:rsid w:val="00463B31"/>
    <w:rsid w:val="00465338"/>
    <w:rsid w:val="00465434"/>
    <w:rsid w:val="00465734"/>
    <w:rsid w:val="00466BAA"/>
    <w:rsid w:val="00467B6A"/>
    <w:rsid w:val="0047012E"/>
    <w:rsid w:val="00470CBE"/>
    <w:rsid w:val="00471430"/>
    <w:rsid w:val="00471677"/>
    <w:rsid w:val="004718D2"/>
    <w:rsid w:val="00471EAE"/>
    <w:rsid w:val="004722BD"/>
    <w:rsid w:val="00472E88"/>
    <w:rsid w:val="00473502"/>
    <w:rsid w:val="00473D6A"/>
    <w:rsid w:val="0047464B"/>
    <w:rsid w:val="00474B09"/>
    <w:rsid w:val="004751C7"/>
    <w:rsid w:val="00480EF4"/>
    <w:rsid w:val="00481F98"/>
    <w:rsid w:val="00483509"/>
    <w:rsid w:val="00483BF7"/>
    <w:rsid w:val="00484259"/>
    <w:rsid w:val="00484CD3"/>
    <w:rsid w:val="00485716"/>
    <w:rsid w:val="00485937"/>
    <w:rsid w:val="0048602B"/>
    <w:rsid w:val="0048603B"/>
    <w:rsid w:val="00486374"/>
    <w:rsid w:val="00486431"/>
    <w:rsid w:val="00486482"/>
    <w:rsid w:val="004864C3"/>
    <w:rsid w:val="00486962"/>
    <w:rsid w:val="00486EA7"/>
    <w:rsid w:val="00487837"/>
    <w:rsid w:val="0049045E"/>
    <w:rsid w:val="004904B2"/>
    <w:rsid w:val="00490B3C"/>
    <w:rsid w:val="00491262"/>
    <w:rsid w:val="0049145F"/>
    <w:rsid w:val="004919C6"/>
    <w:rsid w:val="00491A4E"/>
    <w:rsid w:val="00492612"/>
    <w:rsid w:val="00492A4E"/>
    <w:rsid w:val="00492B6B"/>
    <w:rsid w:val="00493233"/>
    <w:rsid w:val="00493432"/>
    <w:rsid w:val="00493B77"/>
    <w:rsid w:val="00494D96"/>
    <w:rsid w:val="00496137"/>
    <w:rsid w:val="00497943"/>
    <w:rsid w:val="00497966"/>
    <w:rsid w:val="004A1035"/>
    <w:rsid w:val="004A1EAC"/>
    <w:rsid w:val="004A276D"/>
    <w:rsid w:val="004A2CAB"/>
    <w:rsid w:val="004A3E97"/>
    <w:rsid w:val="004A4FC8"/>
    <w:rsid w:val="004A6D8E"/>
    <w:rsid w:val="004A6EF7"/>
    <w:rsid w:val="004A732D"/>
    <w:rsid w:val="004B08B2"/>
    <w:rsid w:val="004B11F7"/>
    <w:rsid w:val="004B1374"/>
    <w:rsid w:val="004B1BEC"/>
    <w:rsid w:val="004B3764"/>
    <w:rsid w:val="004B3F57"/>
    <w:rsid w:val="004B40C7"/>
    <w:rsid w:val="004B433B"/>
    <w:rsid w:val="004B47DA"/>
    <w:rsid w:val="004B75B2"/>
    <w:rsid w:val="004C114D"/>
    <w:rsid w:val="004C2025"/>
    <w:rsid w:val="004C2184"/>
    <w:rsid w:val="004C369C"/>
    <w:rsid w:val="004C4ADB"/>
    <w:rsid w:val="004C5281"/>
    <w:rsid w:val="004C64A2"/>
    <w:rsid w:val="004C64DE"/>
    <w:rsid w:val="004C6E7A"/>
    <w:rsid w:val="004C70DD"/>
    <w:rsid w:val="004C729E"/>
    <w:rsid w:val="004C7827"/>
    <w:rsid w:val="004C7A20"/>
    <w:rsid w:val="004D02CC"/>
    <w:rsid w:val="004D168A"/>
    <w:rsid w:val="004D2D73"/>
    <w:rsid w:val="004D33AF"/>
    <w:rsid w:val="004D3C2C"/>
    <w:rsid w:val="004D3FE5"/>
    <w:rsid w:val="004D470C"/>
    <w:rsid w:val="004D4B8C"/>
    <w:rsid w:val="004D515D"/>
    <w:rsid w:val="004D54A0"/>
    <w:rsid w:val="004D656C"/>
    <w:rsid w:val="004D66E1"/>
    <w:rsid w:val="004D6D73"/>
    <w:rsid w:val="004D76EA"/>
    <w:rsid w:val="004D7EDD"/>
    <w:rsid w:val="004E0376"/>
    <w:rsid w:val="004E08D8"/>
    <w:rsid w:val="004E0D17"/>
    <w:rsid w:val="004E106F"/>
    <w:rsid w:val="004E1F73"/>
    <w:rsid w:val="004E22B9"/>
    <w:rsid w:val="004E2664"/>
    <w:rsid w:val="004E2702"/>
    <w:rsid w:val="004E4081"/>
    <w:rsid w:val="004E55B9"/>
    <w:rsid w:val="004E5C96"/>
    <w:rsid w:val="004E665E"/>
    <w:rsid w:val="004E6D6F"/>
    <w:rsid w:val="004E6F3F"/>
    <w:rsid w:val="004E79C6"/>
    <w:rsid w:val="004E79D2"/>
    <w:rsid w:val="004E7C3E"/>
    <w:rsid w:val="004E7E86"/>
    <w:rsid w:val="004E7F5F"/>
    <w:rsid w:val="004F0B4D"/>
    <w:rsid w:val="004F0B67"/>
    <w:rsid w:val="004F12BB"/>
    <w:rsid w:val="004F1331"/>
    <w:rsid w:val="004F1CED"/>
    <w:rsid w:val="004F24A0"/>
    <w:rsid w:val="004F31CE"/>
    <w:rsid w:val="004F3A4C"/>
    <w:rsid w:val="004F3C73"/>
    <w:rsid w:val="004F4030"/>
    <w:rsid w:val="004F41C6"/>
    <w:rsid w:val="004F63D9"/>
    <w:rsid w:val="004F7E74"/>
    <w:rsid w:val="0050093E"/>
    <w:rsid w:val="00501016"/>
    <w:rsid w:val="00501643"/>
    <w:rsid w:val="00501964"/>
    <w:rsid w:val="00501C10"/>
    <w:rsid w:val="0050241C"/>
    <w:rsid w:val="005033B2"/>
    <w:rsid w:val="00503555"/>
    <w:rsid w:val="0050407E"/>
    <w:rsid w:val="00504BFE"/>
    <w:rsid w:val="00504F8B"/>
    <w:rsid w:val="0050545F"/>
    <w:rsid w:val="0050595E"/>
    <w:rsid w:val="005062EA"/>
    <w:rsid w:val="0050698F"/>
    <w:rsid w:val="005070A7"/>
    <w:rsid w:val="00507473"/>
    <w:rsid w:val="00510457"/>
    <w:rsid w:val="00510BC1"/>
    <w:rsid w:val="0051115B"/>
    <w:rsid w:val="00511440"/>
    <w:rsid w:val="00512632"/>
    <w:rsid w:val="005129EC"/>
    <w:rsid w:val="00513040"/>
    <w:rsid w:val="00514F76"/>
    <w:rsid w:val="00515339"/>
    <w:rsid w:val="00515C81"/>
    <w:rsid w:val="00516472"/>
    <w:rsid w:val="005174F0"/>
    <w:rsid w:val="005175A3"/>
    <w:rsid w:val="005179C3"/>
    <w:rsid w:val="00517A51"/>
    <w:rsid w:val="005208D6"/>
    <w:rsid w:val="00520DA1"/>
    <w:rsid w:val="0052318A"/>
    <w:rsid w:val="0052348A"/>
    <w:rsid w:val="00523B1C"/>
    <w:rsid w:val="00523F02"/>
    <w:rsid w:val="00524190"/>
    <w:rsid w:val="005244E0"/>
    <w:rsid w:val="00524EF3"/>
    <w:rsid w:val="0052526C"/>
    <w:rsid w:val="0052627C"/>
    <w:rsid w:val="00526737"/>
    <w:rsid w:val="005267DA"/>
    <w:rsid w:val="00526E79"/>
    <w:rsid w:val="00527988"/>
    <w:rsid w:val="00530D35"/>
    <w:rsid w:val="005312C4"/>
    <w:rsid w:val="005317B2"/>
    <w:rsid w:val="0053321B"/>
    <w:rsid w:val="005337AF"/>
    <w:rsid w:val="00533E62"/>
    <w:rsid w:val="00534316"/>
    <w:rsid w:val="005343C4"/>
    <w:rsid w:val="005348AD"/>
    <w:rsid w:val="0053592B"/>
    <w:rsid w:val="00535E54"/>
    <w:rsid w:val="00535E97"/>
    <w:rsid w:val="00535F2B"/>
    <w:rsid w:val="00536149"/>
    <w:rsid w:val="00536431"/>
    <w:rsid w:val="00536467"/>
    <w:rsid w:val="00536BF8"/>
    <w:rsid w:val="00537CF1"/>
    <w:rsid w:val="00540585"/>
    <w:rsid w:val="0054069F"/>
    <w:rsid w:val="00540BA4"/>
    <w:rsid w:val="00541ED5"/>
    <w:rsid w:val="0054418E"/>
    <w:rsid w:val="005448B5"/>
    <w:rsid w:val="005449B1"/>
    <w:rsid w:val="00544D3D"/>
    <w:rsid w:val="00544ED8"/>
    <w:rsid w:val="0054562D"/>
    <w:rsid w:val="00545681"/>
    <w:rsid w:val="00545D51"/>
    <w:rsid w:val="005503E7"/>
    <w:rsid w:val="00551175"/>
    <w:rsid w:val="0055135A"/>
    <w:rsid w:val="00551438"/>
    <w:rsid w:val="005516B1"/>
    <w:rsid w:val="00551A9D"/>
    <w:rsid w:val="00551C53"/>
    <w:rsid w:val="005531A3"/>
    <w:rsid w:val="005533EA"/>
    <w:rsid w:val="005543CD"/>
    <w:rsid w:val="005566E1"/>
    <w:rsid w:val="00556A20"/>
    <w:rsid w:val="0055711B"/>
    <w:rsid w:val="0055712E"/>
    <w:rsid w:val="0055743D"/>
    <w:rsid w:val="0056137A"/>
    <w:rsid w:val="005618F5"/>
    <w:rsid w:val="00561A49"/>
    <w:rsid w:val="0056287C"/>
    <w:rsid w:val="00562E21"/>
    <w:rsid w:val="00563825"/>
    <w:rsid w:val="00564214"/>
    <w:rsid w:val="00564975"/>
    <w:rsid w:val="0056505D"/>
    <w:rsid w:val="0056541E"/>
    <w:rsid w:val="005656CD"/>
    <w:rsid w:val="00565E87"/>
    <w:rsid w:val="005664C5"/>
    <w:rsid w:val="00566576"/>
    <w:rsid w:val="00570181"/>
    <w:rsid w:val="0057033E"/>
    <w:rsid w:val="00570B69"/>
    <w:rsid w:val="0057107A"/>
    <w:rsid w:val="0057123E"/>
    <w:rsid w:val="00571CE6"/>
    <w:rsid w:val="00572DCC"/>
    <w:rsid w:val="005731CC"/>
    <w:rsid w:val="00574959"/>
    <w:rsid w:val="00574A5E"/>
    <w:rsid w:val="00574C5C"/>
    <w:rsid w:val="00575ABA"/>
    <w:rsid w:val="00575ED5"/>
    <w:rsid w:val="00580B42"/>
    <w:rsid w:val="005816C2"/>
    <w:rsid w:val="005819FE"/>
    <w:rsid w:val="00581ACA"/>
    <w:rsid w:val="0058209F"/>
    <w:rsid w:val="005832D8"/>
    <w:rsid w:val="005835B8"/>
    <w:rsid w:val="00584E5D"/>
    <w:rsid w:val="00584F76"/>
    <w:rsid w:val="0058516A"/>
    <w:rsid w:val="005855E5"/>
    <w:rsid w:val="00586211"/>
    <w:rsid w:val="00586508"/>
    <w:rsid w:val="0058735D"/>
    <w:rsid w:val="00587A12"/>
    <w:rsid w:val="0059052A"/>
    <w:rsid w:val="00591185"/>
    <w:rsid w:val="005926CC"/>
    <w:rsid w:val="00592CAF"/>
    <w:rsid w:val="00593709"/>
    <w:rsid w:val="00593B58"/>
    <w:rsid w:val="00594243"/>
    <w:rsid w:val="00594344"/>
    <w:rsid w:val="005952A4"/>
    <w:rsid w:val="0059588D"/>
    <w:rsid w:val="0059655A"/>
    <w:rsid w:val="00596EA4"/>
    <w:rsid w:val="00597577"/>
    <w:rsid w:val="005975AE"/>
    <w:rsid w:val="00597ADE"/>
    <w:rsid w:val="005A0E83"/>
    <w:rsid w:val="005A10BF"/>
    <w:rsid w:val="005A1136"/>
    <w:rsid w:val="005A1193"/>
    <w:rsid w:val="005A2287"/>
    <w:rsid w:val="005A24D1"/>
    <w:rsid w:val="005A2F03"/>
    <w:rsid w:val="005A3375"/>
    <w:rsid w:val="005A3763"/>
    <w:rsid w:val="005A45C7"/>
    <w:rsid w:val="005A495C"/>
    <w:rsid w:val="005A496F"/>
    <w:rsid w:val="005A4BED"/>
    <w:rsid w:val="005A4CFC"/>
    <w:rsid w:val="005A5102"/>
    <w:rsid w:val="005A6536"/>
    <w:rsid w:val="005A78BF"/>
    <w:rsid w:val="005B0118"/>
    <w:rsid w:val="005B07D6"/>
    <w:rsid w:val="005B0961"/>
    <w:rsid w:val="005B1BAE"/>
    <w:rsid w:val="005B1D73"/>
    <w:rsid w:val="005B23A9"/>
    <w:rsid w:val="005B292E"/>
    <w:rsid w:val="005B2FCD"/>
    <w:rsid w:val="005B3809"/>
    <w:rsid w:val="005B3894"/>
    <w:rsid w:val="005B51ED"/>
    <w:rsid w:val="005B521B"/>
    <w:rsid w:val="005B560A"/>
    <w:rsid w:val="005B56F6"/>
    <w:rsid w:val="005B5EDB"/>
    <w:rsid w:val="005C07BD"/>
    <w:rsid w:val="005C1554"/>
    <w:rsid w:val="005C2B67"/>
    <w:rsid w:val="005C2EB4"/>
    <w:rsid w:val="005C30C4"/>
    <w:rsid w:val="005C52C6"/>
    <w:rsid w:val="005C7019"/>
    <w:rsid w:val="005C733E"/>
    <w:rsid w:val="005D04F0"/>
    <w:rsid w:val="005D1242"/>
    <w:rsid w:val="005D1507"/>
    <w:rsid w:val="005D3EC3"/>
    <w:rsid w:val="005D3FB0"/>
    <w:rsid w:val="005D4212"/>
    <w:rsid w:val="005D4A0A"/>
    <w:rsid w:val="005D5B67"/>
    <w:rsid w:val="005D5B9A"/>
    <w:rsid w:val="005D6259"/>
    <w:rsid w:val="005D7374"/>
    <w:rsid w:val="005D7889"/>
    <w:rsid w:val="005E1CF9"/>
    <w:rsid w:val="005E29DD"/>
    <w:rsid w:val="005E2C21"/>
    <w:rsid w:val="005E2D34"/>
    <w:rsid w:val="005E31E1"/>
    <w:rsid w:val="005E3233"/>
    <w:rsid w:val="005E3D5C"/>
    <w:rsid w:val="005E3FD5"/>
    <w:rsid w:val="005E47F8"/>
    <w:rsid w:val="005E507F"/>
    <w:rsid w:val="005E5407"/>
    <w:rsid w:val="005E6381"/>
    <w:rsid w:val="005E774D"/>
    <w:rsid w:val="005E7FB3"/>
    <w:rsid w:val="005F0FB4"/>
    <w:rsid w:val="005F14D0"/>
    <w:rsid w:val="005F22A5"/>
    <w:rsid w:val="005F3AFD"/>
    <w:rsid w:val="005F469D"/>
    <w:rsid w:val="005F5600"/>
    <w:rsid w:val="005F5D9D"/>
    <w:rsid w:val="005F68FC"/>
    <w:rsid w:val="005F72B9"/>
    <w:rsid w:val="005F7CEC"/>
    <w:rsid w:val="00600122"/>
    <w:rsid w:val="00600B9C"/>
    <w:rsid w:val="00600D6F"/>
    <w:rsid w:val="00602835"/>
    <w:rsid w:val="00603649"/>
    <w:rsid w:val="00604EB2"/>
    <w:rsid w:val="00606A66"/>
    <w:rsid w:val="0061089B"/>
    <w:rsid w:val="006116FA"/>
    <w:rsid w:val="0061350B"/>
    <w:rsid w:val="006139EF"/>
    <w:rsid w:val="006145BA"/>
    <w:rsid w:val="00614EC9"/>
    <w:rsid w:val="0061780D"/>
    <w:rsid w:val="0062043F"/>
    <w:rsid w:val="00620CB2"/>
    <w:rsid w:val="00621B1E"/>
    <w:rsid w:val="00622E99"/>
    <w:rsid w:val="0062302D"/>
    <w:rsid w:val="00623113"/>
    <w:rsid w:val="0062515F"/>
    <w:rsid w:val="0062524E"/>
    <w:rsid w:val="00625EC3"/>
    <w:rsid w:val="00626817"/>
    <w:rsid w:val="006268B1"/>
    <w:rsid w:val="00626A51"/>
    <w:rsid w:val="006308C2"/>
    <w:rsid w:val="00631D2A"/>
    <w:rsid w:val="0063258D"/>
    <w:rsid w:val="00633282"/>
    <w:rsid w:val="006352FB"/>
    <w:rsid w:val="00637B31"/>
    <w:rsid w:val="006406A0"/>
    <w:rsid w:val="006416DE"/>
    <w:rsid w:val="00641DD1"/>
    <w:rsid w:val="00641FD0"/>
    <w:rsid w:val="00642AB8"/>
    <w:rsid w:val="00642DAD"/>
    <w:rsid w:val="006439A5"/>
    <w:rsid w:val="00644F6E"/>
    <w:rsid w:val="00645223"/>
    <w:rsid w:val="00646013"/>
    <w:rsid w:val="0064666B"/>
    <w:rsid w:val="00646893"/>
    <w:rsid w:val="00650082"/>
    <w:rsid w:val="00650971"/>
    <w:rsid w:val="00650C0D"/>
    <w:rsid w:val="006514E4"/>
    <w:rsid w:val="00651516"/>
    <w:rsid w:val="00651522"/>
    <w:rsid w:val="00651907"/>
    <w:rsid w:val="0065265B"/>
    <w:rsid w:val="00653F5D"/>
    <w:rsid w:val="00653FD0"/>
    <w:rsid w:val="006546A5"/>
    <w:rsid w:val="00656187"/>
    <w:rsid w:val="00657D49"/>
    <w:rsid w:val="006603D4"/>
    <w:rsid w:val="006607EB"/>
    <w:rsid w:val="00660C88"/>
    <w:rsid w:val="0066184E"/>
    <w:rsid w:val="0066223D"/>
    <w:rsid w:val="0066275F"/>
    <w:rsid w:val="00663935"/>
    <w:rsid w:val="00663BC8"/>
    <w:rsid w:val="00663CA0"/>
    <w:rsid w:val="00663D2A"/>
    <w:rsid w:val="00665F83"/>
    <w:rsid w:val="00665FB1"/>
    <w:rsid w:val="006660BF"/>
    <w:rsid w:val="0066661C"/>
    <w:rsid w:val="00667FAF"/>
    <w:rsid w:val="006714BF"/>
    <w:rsid w:val="00671F80"/>
    <w:rsid w:val="00672246"/>
    <w:rsid w:val="0067259E"/>
    <w:rsid w:val="006726B5"/>
    <w:rsid w:val="00673439"/>
    <w:rsid w:val="00673B34"/>
    <w:rsid w:val="00674DB3"/>
    <w:rsid w:val="00675D99"/>
    <w:rsid w:val="00676A64"/>
    <w:rsid w:val="00676CE2"/>
    <w:rsid w:val="00677A4D"/>
    <w:rsid w:val="00680BA0"/>
    <w:rsid w:val="006822E3"/>
    <w:rsid w:val="00682BEE"/>
    <w:rsid w:val="00682C3D"/>
    <w:rsid w:val="00683202"/>
    <w:rsid w:val="006833B7"/>
    <w:rsid w:val="0068565C"/>
    <w:rsid w:val="0068639C"/>
    <w:rsid w:val="00686FC9"/>
    <w:rsid w:val="00690C48"/>
    <w:rsid w:val="00691347"/>
    <w:rsid w:val="00691450"/>
    <w:rsid w:val="00691C78"/>
    <w:rsid w:val="0069208D"/>
    <w:rsid w:val="006923CF"/>
    <w:rsid w:val="00692B41"/>
    <w:rsid w:val="006940F3"/>
    <w:rsid w:val="00694AF5"/>
    <w:rsid w:val="006966AC"/>
    <w:rsid w:val="00696831"/>
    <w:rsid w:val="00696CB5"/>
    <w:rsid w:val="006A15CD"/>
    <w:rsid w:val="006A1784"/>
    <w:rsid w:val="006A17ED"/>
    <w:rsid w:val="006A2017"/>
    <w:rsid w:val="006A258A"/>
    <w:rsid w:val="006A2B31"/>
    <w:rsid w:val="006A2F05"/>
    <w:rsid w:val="006A3849"/>
    <w:rsid w:val="006A38C0"/>
    <w:rsid w:val="006A3CD8"/>
    <w:rsid w:val="006A415D"/>
    <w:rsid w:val="006A41A7"/>
    <w:rsid w:val="006A49FD"/>
    <w:rsid w:val="006A4F38"/>
    <w:rsid w:val="006A5822"/>
    <w:rsid w:val="006A61B5"/>
    <w:rsid w:val="006A6588"/>
    <w:rsid w:val="006A6A56"/>
    <w:rsid w:val="006A75C0"/>
    <w:rsid w:val="006A7ABF"/>
    <w:rsid w:val="006B2192"/>
    <w:rsid w:val="006B356A"/>
    <w:rsid w:val="006B532A"/>
    <w:rsid w:val="006B5B2E"/>
    <w:rsid w:val="006C0E42"/>
    <w:rsid w:val="006C1B37"/>
    <w:rsid w:val="006C2262"/>
    <w:rsid w:val="006C3348"/>
    <w:rsid w:val="006C3E09"/>
    <w:rsid w:val="006C466D"/>
    <w:rsid w:val="006C50ED"/>
    <w:rsid w:val="006C53A8"/>
    <w:rsid w:val="006C5976"/>
    <w:rsid w:val="006C5C8C"/>
    <w:rsid w:val="006C5DBE"/>
    <w:rsid w:val="006C64B8"/>
    <w:rsid w:val="006C6FBF"/>
    <w:rsid w:val="006C78C7"/>
    <w:rsid w:val="006C7B4E"/>
    <w:rsid w:val="006C7DD1"/>
    <w:rsid w:val="006D0241"/>
    <w:rsid w:val="006D0410"/>
    <w:rsid w:val="006D0BEF"/>
    <w:rsid w:val="006D0D1F"/>
    <w:rsid w:val="006D15FA"/>
    <w:rsid w:val="006D28DC"/>
    <w:rsid w:val="006D3CAD"/>
    <w:rsid w:val="006D40BB"/>
    <w:rsid w:val="006D5590"/>
    <w:rsid w:val="006D5646"/>
    <w:rsid w:val="006D6C32"/>
    <w:rsid w:val="006E0C19"/>
    <w:rsid w:val="006E14F6"/>
    <w:rsid w:val="006E1DDC"/>
    <w:rsid w:val="006E2C8E"/>
    <w:rsid w:val="006E2F7B"/>
    <w:rsid w:val="006E34DC"/>
    <w:rsid w:val="006E3960"/>
    <w:rsid w:val="006E434F"/>
    <w:rsid w:val="006E447F"/>
    <w:rsid w:val="006E6F8C"/>
    <w:rsid w:val="006F0362"/>
    <w:rsid w:val="006F05BA"/>
    <w:rsid w:val="006F0C52"/>
    <w:rsid w:val="006F1191"/>
    <w:rsid w:val="006F1408"/>
    <w:rsid w:val="006F1633"/>
    <w:rsid w:val="006F2400"/>
    <w:rsid w:val="006F24BC"/>
    <w:rsid w:val="006F31CC"/>
    <w:rsid w:val="006F36AE"/>
    <w:rsid w:val="006F404F"/>
    <w:rsid w:val="006F4724"/>
    <w:rsid w:val="006F5797"/>
    <w:rsid w:val="006F7103"/>
    <w:rsid w:val="006F7C77"/>
    <w:rsid w:val="006F7FD9"/>
    <w:rsid w:val="007003B7"/>
    <w:rsid w:val="00700AEC"/>
    <w:rsid w:val="00701015"/>
    <w:rsid w:val="007024D5"/>
    <w:rsid w:val="00702885"/>
    <w:rsid w:val="00702BBA"/>
    <w:rsid w:val="0070343E"/>
    <w:rsid w:val="007040BD"/>
    <w:rsid w:val="00704170"/>
    <w:rsid w:val="00704315"/>
    <w:rsid w:val="007045ED"/>
    <w:rsid w:val="00704868"/>
    <w:rsid w:val="0070512C"/>
    <w:rsid w:val="00706029"/>
    <w:rsid w:val="00706224"/>
    <w:rsid w:val="0070764A"/>
    <w:rsid w:val="00707A4B"/>
    <w:rsid w:val="0071047B"/>
    <w:rsid w:val="00712E77"/>
    <w:rsid w:val="0071351B"/>
    <w:rsid w:val="00714193"/>
    <w:rsid w:val="00715077"/>
    <w:rsid w:val="007151DC"/>
    <w:rsid w:val="007162DD"/>
    <w:rsid w:val="00717D4F"/>
    <w:rsid w:val="00720804"/>
    <w:rsid w:val="00720B54"/>
    <w:rsid w:val="00721AEB"/>
    <w:rsid w:val="00723932"/>
    <w:rsid w:val="00724C85"/>
    <w:rsid w:val="00724EF4"/>
    <w:rsid w:val="00726B39"/>
    <w:rsid w:val="00726CFA"/>
    <w:rsid w:val="00726E75"/>
    <w:rsid w:val="00727B7B"/>
    <w:rsid w:val="0073160D"/>
    <w:rsid w:val="00731F89"/>
    <w:rsid w:val="0073204E"/>
    <w:rsid w:val="00732A52"/>
    <w:rsid w:val="00733461"/>
    <w:rsid w:val="00733865"/>
    <w:rsid w:val="00733BDE"/>
    <w:rsid w:val="0073451D"/>
    <w:rsid w:val="00734A83"/>
    <w:rsid w:val="0073568C"/>
    <w:rsid w:val="0073582D"/>
    <w:rsid w:val="0073585C"/>
    <w:rsid w:val="00735921"/>
    <w:rsid w:val="007359B8"/>
    <w:rsid w:val="00735A0B"/>
    <w:rsid w:val="00736E9C"/>
    <w:rsid w:val="00737897"/>
    <w:rsid w:val="007378FD"/>
    <w:rsid w:val="00737CD4"/>
    <w:rsid w:val="00740B48"/>
    <w:rsid w:val="0074179D"/>
    <w:rsid w:val="0074193A"/>
    <w:rsid w:val="007429B9"/>
    <w:rsid w:val="00743331"/>
    <w:rsid w:val="0074337F"/>
    <w:rsid w:val="00743457"/>
    <w:rsid w:val="00743787"/>
    <w:rsid w:val="00745FE9"/>
    <w:rsid w:val="00746146"/>
    <w:rsid w:val="007466E3"/>
    <w:rsid w:val="00747268"/>
    <w:rsid w:val="0074729E"/>
    <w:rsid w:val="007476BF"/>
    <w:rsid w:val="00750933"/>
    <w:rsid w:val="00750C6A"/>
    <w:rsid w:val="00750E43"/>
    <w:rsid w:val="00751298"/>
    <w:rsid w:val="00753CDD"/>
    <w:rsid w:val="007549A2"/>
    <w:rsid w:val="00754B31"/>
    <w:rsid w:val="0075587D"/>
    <w:rsid w:val="00755F6B"/>
    <w:rsid w:val="007560AB"/>
    <w:rsid w:val="00757826"/>
    <w:rsid w:val="007607A1"/>
    <w:rsid w:val="007607AA"/>
    <w:rsid w:val="007611D2"/>
    <w:rsid w:val="00761B16"/>
    <w:rsid w:val="00761F24"/>
    <w:rsid w:val="007622AD"/>
    <w:rsid w:val="00762900"/>
    <w:rsid w:val="0076444C"/>
    <w:rsid w:val="007647F1"/>
    <w:rsid w:val="00764DA5"/>
    <w:rsid w:val="0076640B"/>
    <w:rsid w:val="00766A6D"/>
    <w:rsid w:val="00767035"/>
    <w:rsid w:val="0076708C"/>
    <w:rsid w:val="00767A4F"/>
    <w:rsid w:val="00770119"/>
    <w:rsid w:val="00770131"/>
    <w:rsid w:val="00770286"/>
    <w:rsid w:val="0077071F"/>
    <w:rsid w:val="007707A8"/>
    <w:rsid w:val="0077101B"/>
    <w:rsid w:val="007716AC"/>
    <w:rsid w:val="00771BDF"/>
    <w:rsid w:val="00772143"/>
    <w:rsid w:val="0077245E"/>
    <w:rsid w:val="0077284F"/>
    <w:rsid w:val="00772E90"/>
    <w:rsid w:val="00773ED9"/>
    <w:rsid w:val="00773EF9"/>
    <w:rsid w:val="00773FA3"/>
    <w:rsid w:val="00774A36"/>
    <w:rsid w:val="00775480"/>
    <w:rsid w:val="00776E1C"/>
    <w:rsid w:val="00777F0D"/>
    <w:rsid w:val="00780BAB"/>
    <w:rsid w:val="007813CC"/>
    <w:rsid w:val="007825D2"/>
    <w:rsid w:val="00783CE8"/>
    <w:rsid w:val="00784E7E"/>
    <w:rsid w:val="00785121"/>
    <w:rsid w:val="00786015"/>
    <w:rsid w:val="00786E14"/>
    <w:rsid w:val="00790912"/>
    <w:rsid w:val="00790FB5"/>
    <w:rsid w:val="0079170B"/>
    <w:rsid w:val="00791717"/>
    <w:rsid w:val="007919F0"/>
    <w:rsid w:val="00792127"/>
    <w:rsid w:val="00792490"/>
    <w:rsid w:val="00793D9D"/>
    <w:rsid w:val="007940D6"/>
    <w:rsid w:val="00795085"/>
    <w:rsid w:val="007958F0"/>
    <w:rsid w:val="00795E29"/>
    <w:rsid w:val="00795E63"/>
    <w:rsid w:val="00797239"/>
    <w:rsid w:val="00797387"/>
    <w:rsid w:val="00797936"/>
    <w:rsid w:val="007A02A4"/>
    <w:rsid w:val="007A1E07"/>
    <w:rsid w:val="007A1E30"/>
    <w:rsid w:val="007A2077"/>
    <w:rsid w:val="007A2320"/>
    <w:rsid w:val="007A2C0D"/>
    <w:rsid w:val="007A39E5"/>
    <w:rsid w:val="007A4BEF"/>
    <w:rsid w:val="007A6408"/>
    <w:rsid w:val="007A7A43"/>
    <w:rsid w:val="007B178F"/>
    <w:rsid w:val="007B34A1"/>
    <w:rsid w:val="007B4155"/>
    <w:rsid w:val="007B4AE7"/>
    <w:rsid w:val="007B5342"/>
    <w:rsid w:val="007B5D6B"/>
    <w:rsid w:val="007B7C65"/>
    <w:rsid w:val="007B7E33"/>
    <w:rsid w:val="007C3563"/>
    <w:rsid w:val="007C3831"/>
    <w:rsid w:val="007C3A2C"/>
    <w:rsid w:val="007C3CFC"/>
    <w:rsid w:val="007C5E1B"/>
    <w:rsid w:val="007C658F"/>
    <w:rsid w:val="007C6B0A"/>
    <w:rsid w:val="007C7272"/>
    <w:rsid w:val="007C7297"/>
    <w:rsid w:val="007C76A3"/>
    <w:rsid w:val="007D020E"/>
    <w:rsid w:val="007D0CFA"/>
    <w:rsid w:val="007D0E6F"/>
    <w:rsid w:val="007D0F0B"/>
    <w:rsid w:val="007D1222"/>
    <w:rsid w:val="007D163F"/>
    <w:rsid w:val="007D1EF6"/>
    <w:rsid w:val="007D2BAE"/>
    <w:rsid w:val="007D344C"/>
    <w:rsid w:val="007D3C9E"/>
    <w:rsid w:val="007D4562"/>
    <w:rsid w:val="007D550A"/>
    <w:rsid w:val="007D5938"/>
    <w:rsid w:val="007D59BA"/>
    <w:rsid w:val="007D5D1D"/>
    <w:rsid w:val="007D6A35"/>
    <w:rsid w:val="007D7A6A"/>
    <w:rsid w:val="007D7E66"/>
    <w:rsid w:val="007E038A"/>
    <w:rsid w:val="007E1F2D"/>
    <w:rsid w:val="007E2422"/>
    <w:rsid w:val="007E28FD"/>
    <w:rsid w:val="007E4C99"/>
    <w:rsid w:val="007E4E7D"/>
    <w:rsid w:val="007E71E5"/>
    <w:rsid w:val="007E7C61"/>
    <w:rsid w:val="007F1014"/>
    <w:rsid w:val="007F2935"/>
    <w:rsid w:val="007F39CB"/>
    <w:rsid w:val="007F423B"/>
    <w:rsid w:val="007F49E9"/>
    <w:rsid w:val="007F56C2"/>
    <w:rsid w:val="007F579C"/>
    <w:rsid w:val="007F6F6C"/>
    <w:rsid w:val="0080003F"/>
    <w:rsid w:val="0080077F"/>
    <w:rsid w:val="00800E08"/>
    <w:rsid w:val="00801A89"/>
    <w:rsid w:val="00801B5B"/>
    <w:rsid w:val="00802180"/>
    <w:rsid w:val="008035BA"/>
    <w:rsid w:val="00803B38"/>
    <w:rsid w:val="00804349"/>
    <w:rsid w:val="0080449A"/>
    <w:rsid w:val="00804F14"/>
    <w:rsid w:val="00805196"/>
    <w:rsid w:val="008052D4"/>
    <w:rsid w:val="00805406"/>
    <w:rsid w:val="00806720"/>
    <w:rsid w:val="00806CCC"/>
    <w:rsid w:val="008070A4"/>
    <w:rsid w:val="00807E57"/>
    <w:rsid w:val="00810C92"/>
    <w:rsid w:val="008113DB"/>
    <w:rsid w:val="00811501"/>
    <w:rsid w:val="00813347"/>
    <w:rsid w:val="008133C9"/>
    <w:rsid w:val="00814CD4"/>
    <w:rsid w:val="00815927"/>
    <w:rsid w:val="00815F34"/>
    <w:rsid w:val="00817DB7"/>
    <w:rsid w:val="00820204"/>
    <w:rsid w:val="0082175A"/>
    <w:rsid w:val="00821CE1"/>
    <w:rsid w:val="00824CEE"/>
    <w:rsid w:val="00825361"/>
    <w:rsid w:val="008254CE"/>
    <w:rsid w:val="00825FF8"/>
    <w:rsid w:val="00827302"/>
    <w:rsid w:val="00827CB2"/>
    <w:rsid w:val="00830BFB"/>
    <w:rsid w:val="008314C5"/>
    <w:rsid w:val="00831773"/>
    <w:rsid w:val="00831E50"/>
    <w:rsid w:val="00832806"/>
    <w:rsid w:val="00833A53"/>
    <w:rsid w:val="00834021"/>
    <w:rsid w:val="00834776"/>
    <w:rsid w:val="00835AFF"/>
    <w:rsid w:val="008363B2"/>
    <w:rsid w:val="00840A63"/>
    <w:rsid w:val="00841FFF"/>
    <w:rsid w:val="00842458"/>
    <w:rsid w:val="00843603"/>
    <w:rsid w:val="00843CB8"/>
    <w:rsid w:val="0084422D"/>
    <w:rsid w:val="0084465E"/>
    <w:rsid w:val="008468A8"/>
    <w:rsid w:val="00850130"/>
    <w:rsid w:val="008514DE"/>
    <w:rsid w:val="00851DD8"/>
    <w:rsid w:val="00851FC9"/>
    <w:rsid w:val="008528B0"/>
    <w:rsid w:val="00853F00"/>
    <w:rsid w:val="00854C62"/>
    <w:rsid w:val="0085521A"/>
    <w:rsid w:val="008559A7"/>
    <w:rsid w:val="00856310"/>
    <w:rsid w:val="008572A1"/>
    <w:rsid w:val="0085777C"/>
    <w:rsid w:val="00860570"/>
    <w:rsid w:val="00860842"/>
    <w:rsid w:val="00860D28"/>
    <w:rsid w:val="00861D7A"/>
    <w:rsid w:val="008623D6"/>
    <w:rsid w:val="00862D7F"/>
    <w:rsid w:val="00862EAC"/>
    <w:rsid w:val="008637AF"/>
    <w:rsid w:val="008646A9"/>
    <w:rsid w:val="00864FFE"/>
    <w:rsid w:val="008654C2"/>
    <w:rsid w:val="00867D2E"/>
    <w:rsid w:val="00867DA5"/>
    <w:rsid w:val="00870121"/>
    <w:rsid w:val="0087017F"/>
    <w:rsid w:val="00871483"/>
    <w:rsid w:val="008718AD"/>
    <w:rsid w:val="0087203C"/>
    <w:rsid w:val="008720DA"/>
    <w:rsid w:val="00872C34"/>
    <w:rsid w:val="00872DFD"/>
    <w:rsid w:val="0087377C"/>
    <w:rsid w:val="0087407E"/>
    <w:rsid w:val="00874912"/>
    <w:rsid w:val="00874B3F"/>
    <w:rsid w:val="00875EAB"/>
    <w:rsid w:val="008770FF"/>
    <w:rsid w:val="0087755B"/>
    <w:rsid w:val="008777AF"/>
    <w:rsid w:val="00877A31"/>
    <w:rsid w:val="00880C3C"/>
    <w:rsid w:val="00881144"/>
    <w:rsid w:val="0088357B"/>
    <w:rsid w:val="008839C3"/>
    <w:rsid w:val="00883D0D"/>
    <w:rsid w:val="00884020"/>
    <w:rsid w:val="008840D3"/>
    <w:rsid w:val="008847F9"/>
    <w:rsid w:val="00884E76"/>
    <w:rsid w:val="00884ED4"/>
    <w:rsid w:val="00885BA7"/>
    <w:rsid w:val="008861C0"/>
    <w:rsid w:val="00886201"/>
    <w:rsid w:val="008868E9"/>
    <w:rsid w:val="00886C08"/>
    <w:rsid w:val="00887A48"/>
    <w:rsid w:val="00887BD2"/>
    <w:rsid w:val="00887F40"/>
    <w:rsid w:val="00887F58"/>
    <w:rsid w:val="0089073A"/>
    <w:rsid w:val="008909C6"/>
    <w:rsid w:val="00890A75"/>
    <w:rsid w:val="008911DE"/>
    <w:rsid w:val="00891364"/>
    <w:rsid w:val="00891951"/>
    <w:rsid w:val="00892973"/>
    <w:rsid w:val="008937D0"/>
    <w:rsid w:val="008939EB"/>
    <w:rsid w:val="00893C5C"/>
    <w:rsid w:val="00894336"/>
    <w:rsid w:val="00895CDE"/>
    <w:rsid w:val="00896107"/>
    <w:rsid w:val="008A06F3"/>
    <w:rsid w:val="008A1596"/>
    <w:rsid w:val="008A1F65"/>
    <w:rsid w:val="008A34EC"/>
    <w:rsid w:val="008A40B7"/>
    <w:rsid w:val="008A437D"/>
    <w:rsid w:val="008A4543"/>
    <w:rsid w:val="008A52CA"/>
    <w:rsid w:val="008A771B"/>
    <w:rsid w:val="008A78E1"/>
    <w:rsid w:val="008A7931"/>
    <w:rsid w:val="008B050F"/>
    <w:rsid w:val="008B087C"/>
    <w:rsid w:val="008B1306"/>
    <w:rsid w:val="008B133C"/>
    <w:rsid w:val="008B1539"/>
    <w:rsid w:val="008B1C1F"/>
    <w:rsid w:val="008B26A4"/>
    <w:rsid w:val="008B3F2B"/>
    <w:rsid w:val="008B480E"/>
    <w:rsid w:val="008B50E3"/>
    <w:rsid w:val="008B5302"/>
    <w:rsid w:val="008B5318"/>
    <w:rsid w:val="008B6006"/>
    <w:rsid w:val="008B716C"/>
    <w:rsid w:val="008C0033"/>
    <w:rsid w:val="008C003E"/>
    <w:rsid w:val="008C2392"/>
    <w:rsid w:val="008C2B2A"/>
    <w:rsid w:val="008C2C29"/>
    <w:rsid w:val="008C40D1"/>
    <w:rsid w:val="008C52F5"/>
    <w:rsid w:val="008C6781"/>
    <w:rsid w:val="008C6A59"/>
    <w:rsid w:val="008C6D4B"/>
    <w:rsid w:val="008D0312"/>
    <w:rsid w:val="008D0ACB"/>
    <w:rsid w:val="008D102D"/>
    <w:rsid w:val="008D1A23"/>
    <w:rsid w:val="008D1EED"/>
    <w:rsid w:val="008D26DE"/>
    <w:rsid w:val="008D39BB"/>
    <w:rsid w:val="008D3E1D"/>
    <w:rsid w:val="008D4AB3"/>
    <w:rsid w:val="008D60E3"/>
    <w:rsid w:val="008D6434"/>
    <w:rsid w:val="008D6508"/>
    <w:rsid w:val="008D6C7A"/>
    <w:rsid w:val="008D719E"/>
    <w:rsid w:val="008D7671"/>
    <w:rsid w:val="008D7A0D"/>
    <w:rsid w:val="008D7D4C"/>
    <w:rsid w:val="008E1774"/>
    <w:rsid w:val="008E1D7B"/>
    <w:rsid w:val="008E2DCF"/>
    <w:rsid w:val="008E3A18"/>
    <w:rsid w:val="008E4309"/>
    <w:rsid w:val="008E48D1"/>
    <w:rsid w:val="008E5380"/>
    <w:rsid w:val="008E5561"/>
    <w:rsid w:val="008E572E"/>
    <w:rsid w:val="008E5817"/>
    <w:rsid w:val="008E6246"/>
    <w:rsid w:val="008E6B13"/>
    <w:rsid w:val="008E6B25"/>
    <w:rsid w:val="008E704F"/>
    <w:rsid w:val="008E71B0"/>
    <w:rsid w:val="008F05FF"/>
    <w:rsid w:val="008F0959"/>
    <w:rsid w:val="008F0D6A"/>
    <w:rsid w:val="008F1387"/>
    <w:rsid w:val="008F1B07"/>
    <w:rsid w:val="008F1E58"/>
    <w:rsid w:val="008F1FFD"/>
    <w:rsid w:val="008F232A"/>
    <w:rsid w:val="008F39B9"/>
    <w:rsid w:val="008F39EB"/>
    <w:rsid w:val="008F4E43"/>
    <w:rsid w:val="008F52FE"/>
    <w:rsid w:val="008F624E"/>
    <w:rsid w:val="009005E9"/>
    <w:rsid w:val="00900954"/>
    <w:rsid w:val="0090180B"/>
    <w:rsid w:val="009019F4"/>
    <w:rsid w:val="00902B8A"/>
    <w:rsid w:val="009030EB"/>
    <w:rsid w:val="00903C0B"/>
    <w:rsid w:val="00903FC8"/>
    <w:rsid w:val="00904B12"/>
    <w:rsid w:val="009051C8"/>
    <w:rsid w:val="009051E7"/>
    <w:rsid w:val="009055E7"/>
    <w:rsid w:val="009061BA"/>
    <w:rsid w:val="00906E26"/>
    <w:rsid w:val="00907729"/>
    <w:rsid w:val="00911586"/>
    <w:rsid w:val="0091368B"/>
    <w:rsid w:val="009142BC"/>
    <w:rsid w:val="00914426"/>
    <w:rsid w:val="00914A5C"/>
    <w:rsid w:val="00915D84"/>
    <w:rsid w:val="00916F72"/>
    <w:rsid w:val="009171D5"/>
    <w:rsid w:val="00917B3B"/>
    <w:rsid w:val="00920789"/>
    <w:rsid w:val="00920D69"/>
    <w:rsid w:val="009222A6"/>
    <w:rsid w:val="00923A1D"/>
    <w:rsid w:val="00923A89"/>
    <w:rsid w:val="00923D04"/>
    <w:rsid w:val="00924803"/>
    <w:rsid w:val="0092487C"/>
    <w:rsid w:val="0092589F"/>
    <w:rsid w:val="00925EB7"/>
    <w:rsid w:val="0093189F"/>
    <w:rsid w:val="00931AE1"/>
    <w:rsid w:val="00931E88"/>
    <w:rsid w:val="00932044"/>
    <w:rsid w:val="009321D0"/>
    <w:rsid w:val="00935106"/>
    <w:rsid w:val="00935AE5"/>
    <w:rsid w:val="00935CD4"/>
    <w:rsid w:val="00936850"/>
    <w:rsid w:val="009369E0"/>
    <w:rsid w:val="00937703"/>
    <w:rsid w:val="009405D1"/>
    <w:rsid w:val="009407F6"/>
    <w:rsid w:val="009418DB"/>
    <w:rsid w:val="0094371A"/>
    <w:rsid w:val="00943AAB"/>
    <w:rsid w:val="00943FF5"/>
    <w:rsid w:val="00945678"/>
    <w:rsid w:val="009476A7"/>
    <w:rsid w:val="00950AE4"/>
    <w:rsid w:val="009520D5"/>
    <w:rsid w:val="009524A9"/>
    <w:rsid w:val="00953240"/>
    <w:rsid w:val="00954B21"/>
    <w:rsid w:val="00954C01"/>
    <w:rsid w:val="0095504E"/>
    <w:rsid w:val="00955A67"/>
    <w:rsid w:val="00955DA7"/>
    <w:rsid w:val="0095675B"/>
    <w:rsid w:val="00957031"/>
    <w:rsid w:val="0095744F"/>
    <w:rsid w:val="00957D8A"/>
    <w:rsid w:val="0096008F"/>
    <w:rsid w:val="009611BF"/>
    <w:rsid w:val="0096142B"/>
    <w:rsid w:val="00961D81"/>
    <w:rsid w:val="009630D4"/>
    <w:rsid w:val="009635B6"/>
    <w:rsid w:val="009636FE"/>
    <w:rsid w:val="00963CA8"/>
    <w:rsid w:val="00963EC1"/>
    <w:rsid w:val="00964598"/>
    <w:rsid w:val="0096491E"/>
    <w:rsid w:val="00967763"/>
    <w:rsid w:val="00970A50"/>
    <w:rsid w:val="00971FDD"/>
    <w:rsid w:val="009730F5"/>
    <w:rsid w:val="00973471"/>
    <w:rsid w:val="00973692"/>
    <w:rsid w:val="00973849"/>
    <w:rsid w:val="00974DEF"/>
    <w:rsid w:val="009771B0"/>
    <w:rsid w:val="00977930"/>
    <w:rsid w:val="00977A4D"/>
    <w:rsid w:val="0098071D"/>
    <w:rsid w:val="00981A8A"/>
    <w:rsid w:val="009820E7"/>
    <w:rsid w:val="00982AE6"/>
    <w:rsid w:val="00983ED8"/>
    <w:rsid w:val="00985A87"/>
    <w:rsid w:val="00985B4E"/>
    <w:rsid w:val="009868BD"/>
    <w:rsid w:val="009868CB"/>
    <w:rsid w:val="00986B75"/>
    <w:rsid w:val="00986D4F"/>
    <w:rsid w:val="00986E30"/>
    <w:rsid w:val="009874C8"/>
    <w:rsid w:val="00990911"/>
    <w:rsid w:val="00991C14"/>
    <w:rsid w:val="00991EF6"/>
    <w:rsid w:val="0099292C"/>
    <w:rsid w:val="00993121"/>
    <w:rsid w:val="00993A32"/>
    <w:rsid w:val="00993E34"/>
    <w:rsid w:val="00994B89"/>
    <w:rsid w:val="0099535A"/>
    <w:rsid w:val="00995CD9"/>
    <w:rsid w:val="009960D4"/>
    <w:rsid w:val="009967E1"/>
    <w:rsid w:val="00996C5F"/>
    <w:rsid w:val="00996F22"/>
    <w:rsid w:val="0099724E"/>
    <w:rsid w:val="009A168E"/>
    <w:rsid w:val="009A30A3"/>
    <w:rsid w:val="009A33A8"/>
    <w:rsid w:val="009A37D3"/>
    <w:rsid w:val="009A4073"/>
    <w:rsid w:val="009A473E"/>
    <w:rsid w:val="009A4AF6"/>
    <w:rsid w:val="009A54AA"/>
    <w:rsid w:val="009A5685"/>
    <w:rsid w:val="009A5794"/>
    <w:rsid w:val="009A6971"/>
    <w:rsid w:val="009A73B8"/>
    <w:rsid w:val="009A7802"/>
    <w:rsid w:val="009B064F"/>
    <w:rsid w:val="009B08B4"/>
    <w:rsid w:val="009B11B9"/>
    <w:rsid w:val="009B2CBB"/>
    <w:rsid w:val="009B37F4"/>
    <w:rsid w:val="009B3AFF"/>
    <w:rsid w:val="009B4211"/>
    <w:rsid w:val="009B48AA"/>
    <w:rsid w:val="009B4F03"/>
    <w:rsid w:val="009B55A1"/>
    <w:rsid w:val="009B5D7C"/>
    <w:rsid w:val="009B65F6"/>
    <w:rsid w:val="009B7216"/>
    <w:rsid w:val="009B782A"/>
    <w:rsid w:val="009C0355"/>
    <w:rsid w:val="009C0467"/>
    <w:rsid w:val="009C1468"/>
    <w:rsid w:val="009C1976"/>
    <w:rsid w:val="009C2327"/>
    <w:rsid w:val="009C397F"/>
    <w:rsid w:val="009C4497"/>
    <w:rsid w:val="009C513B"/>
    <w:rsid w:val="009C5D1A"/>
    <w:rsid w:val="009C65EE"/>
    <w:rsid w:val="009C7383"/>
    <w:rsid w:val="009C741B"/>
    <w:rsid w:val="009C770D"/>
    <w:rsid w:val="009D032D"/>
    <w:rsid w:val="009D3533"/>
    <w:rsid w:val="009D3F9A"/>
    <w:rsid w:val="009D3FDB"/>
    <w:rsid w:val="009D4253"/>
    <w:rsid w:val="009D4F65"/>
    <w:rsid w:val="009D5811"/>
    <w:rsid w:val="009D649D"/>
    <w:rsid w:val="009D719C"/>
    <w:rsid w:val="009D79A4"/>
    <w:rsid w:val="009E1FB9"/>
    <w:rsid w:val="009E2476"/>
    <w:rsid w:val="009E275A"/>
    <w:rsid w:val="009E2CE3"/>
    <w:rsid w:val="009E3379"/>
    <w:rsid w:val="009E3384"/>
    <w:rsid w:val="009E4BE3"/>
    <w:rsid w:val="009E5159"/>
    <w:rsid w:val="009E65CF"/>
    <w:rsid w:val="009E6A04"/>
    <w:rsid w:val="009F05ED"/>
    <w:rsid w:val="009F1874"/>
    <w:rsid w:val="009F25F0"/>
    <w:rsid w:val="009F27E6"/>
    <w:rsid w:val="009F290B"/>
    <w:rsid w:val="009F2D14"/>
    <w:rsid w:val="009F3140"/>
    <w:rsid w:val="009F3C5A"/>
    <w:rsid w:val="009F3E96"/>
    <w:rsid w:val="009F4211"/>
    <w:rsid w:val="009F468C"/>
    <w:rsid w:val="009F5169"/>
    <w:rsid w:val="009F575D"/>
    <w:rsid w:val="009F6BD2"/>
    <w:rsid w:val="009F71F5"/>
    <w:rsid w:val="009F7434"/>
    <w:rsid w:val="009F784F"/>
    <w:rsid w:val="00A01711"/>
    <w:rsid w:val="00A01FEB"/>
    <w:rsid w:val="00A0232F"/>
    <w:rsid w:val="00A0265C"/>
    <w:rsid w:val="00A02BEB"/>
    <w:rsid w:val="00A0344F"/>
    <w:rsid w:val="00A035DD"/>
    <w:rsid w:val="00A03B04"/>
    <w:rsid w:val="00A03D7B"/>
    <w:rsid w:val="00A03F40"/>
    <w:rsid w:val="00A04517"/>
    <w:rsid w:val="00A045F1"/>
    <w:rsid w:val="00A052A3"/>
    <w:rsid w:val="00A05355"/>
    <w:rsid w:val="00A054BE"/>
    <w:rsid w:val="00A05752"/>
    <w:rsid w:val="00A06FDE"/>
    <w:rsid w:val="00A07845"/>
    <w:rsid w:val="00A10595"/>
    <w:rsid w:val="00A11A8B"/>
    <w:rsid w:val="00A1228C"/>
    <w:rsid w:val="00A12FBF"/>
    <w:rsid w:val="00A130EC"/>
    <w:rsid w:val="00A135BE"/>
    <w:rsid w:val="00A136D5"/>
    <w:rsid w:val="00A14B3C"/>
    <w:rsid w:val="00A15B23"/>
    <w:rsid w:val="00A16922"/>
    <w:rsid w:val="00A16E73"/>
    <w:rsid w:val="00A17AD5"/>
    <w:rsid w:val="00A17DE5"/>
    <w:rsid w:val="00A17E0C"/>
    <w:rsid w:val="00A20C80"/>
    <w:rsid w:val="00A21EA2"/>
    <w:rsid w:val="00A225F7"/>
    <w:rsid w:val="00A234A4"/>
    <w:rsid w:val="00A23CEE"/>
    <w:rsid w:val="00A24359"/>
    <w:rsid w:val="00A24C2D"/>
    <w:rsid w:val="00A250D4"/>
    <w:rsid w:val="00A254D5"/>
    <w:rsid w:val="00A25C20"/>
    <w:rsid w:val="00A25C9D"/>
    <w:rsid w:val="00A268A9"/>
    <w:rsid w:val="00A269B3"/>
    <w:rsid w:val="00A271BA"/>
    <w:rsid w:val="00A31786"/>
    <w:rsid w:val="00A31AC6"/>
    <w:rsid w:val="00A32081"/>
    <w:rsid w:val="00A328CE"/>
    <w:rsid w:val="00A338CE"/>
    <w:rsid w:val="00A33D91"/>
    <w:rsid w:val="00A349E1"/>
    <w:rsid w:val="00A35AD7"/>
    <w:rsid w:val="00A363DD"/>
    <w:rsid w:val="00A36C4C"/>
    <w:rsid w:val="00A36E89"/>
    <w:rsid w:val="00A370FC"/>
    <w:rsid w:val="00A376DA"/>
    <w:rsid w:val="00A37B03"/>
    <w:rsid w:val="00A37D9C"/>
    <w:rsid w:val="00A37E10"/>
    <w:rsid w:val="00A40FF2"/>
    <w:rsid w:val="00A417D2"/>
    <w:rsid w:val="00A426E6"/>
    <w:rsid w:val="00A42704"/>
    <w:rsid w:val="00A42884"/>
    <w:rsid w:val="00A42FF4"/>
    <w:rsid w:val="00A4368D"/>
    <w:rsid w:val="00A43C12"/>
    <w:rsid w:val="00A44104"/>
    <w:rsid w:val="00A4434E"/>
    <w:rsid w:val="00A44A4A"/>
    <w:rsid w:val="00A452E4"/>
    <w:rsid w:val="00A4583E"/>
    <w:rsid w:val="00A46788"/>
    <w:rsid w:val="00A46E76"/>
    <w:rsid w:val="00A478ED"/>
    <w:rsid w:val="00A47AC5"/>
    <w:rsid w:val="00A50350"/>
    <w:rsid w:val="00A503AE"/>
    <w:rsid w:val="00A50C00"/>
    <w:rsid w:val="00A5368A"/>
    <w:rsid w:val="00A538DA"/>
    <w:rsid w:val="00A540A8"/>
    <w:rsid w:val="00A54732"/>
    <w:rsid w:val="00A54A7F"/>
    <w:rsid w:val="00A5572D"/>
    <w:rsid w:val="00A5588C"/>
    <w:rsid w:val="00A55EBA"/>
    <w:rsid w:val="00A56991"/>
    <w:rsid w:val="00A574CB"/>
    <w:rsid w:val="00A575A1"/>
    <w:rsid w:val="00A61A08"/>
    <w:rsid w:val="00A61D8A"/>
    <w:rsid w:val="00A61EF7"/>
    <w:rsid w:val="00A6281D"/>
    <w:rsid w:val="00A6493C"/>
    <w:rsid w:val="00A64D7E"/>
    <w:rsid w:val="00A654D4"/>
    <w:rsid w:val="00A658B0"/>
    <w:rsid w:val="00A6624F"/>
    <w:rsid w:val="00A668DE"/>
    <w:rsid w:val="00A67F8C"/>
    <w:rsid w:val="00A67FB0"/>
    <w:rsid w:val="00A7177D"/>
    <w:rsid w:val="00A72542"/>
    <w:rsid w:val="00A72830"/>
    <w:rsid w:val="00A72FEC"/>
    <w:rsid w:val="00A73DD6"/>
    <w:rsid w:val="00A75229"/>
    <w:rsid w:val="00A75830"/>
    <w:rsid w:val="00A76367"/>
    <w:rsid w:val="00A779B1"/>
    <w:rsid w:val="00A80827"/>
    <w:rsid w:val="00A81289"/>
    <w:rsid w:val="00A81842"/>
    <w:rsid w:val="00A826B8"/>
    <w:rsid w:val="00A82860"/>
    <w:rsid w:val="00A82CF1"/>
    <w:rsid w:val="00A83E59"/>
    <w:rsid w:val="00A8444C"/>
    <w:rsid w:val="00A84ED7"/>
    <w:rsid w:val="00A86A3D"/>
    <w:rsid w:val="00A86AAB"/>
    <w:rsid w:val="00A87090"/>
    <w:rsid w:val="00A906EE"/>
    <w:rsid w:val="00A90D3F"/>
    <w:rsid w:val="00A90D8E"/>
    <w:rsid w:val="00A914EC"/>
    <w:rsid w:val="00A9159D"/>
    <w:rsid w:val="00A929DF"/>
    <w:rsid w:val="00A94A2F"/>
    <w:rsid w:val="00A9587D"/>
    <w:rsid w:val="00A965DC"/>
    <w:rsid w:val="00A965FB"/>
    <w:rsid w:val="00A9689C"/>
    <w:rsid w:val="00A96C5A"/>
    <w:rsid w:val="00A96FFD"/>
    <w:rsid w:val="00A970D5"/>
    <w:rsid w:val="00A97968"/>
    <w:rsid w:val="00A97AC8"/>
    <w:rsid w:val="00AA1C9E"/>
    <w:rsid w:val="00AA1CFE"/>
    <w:rsid w:val="00AA23DA"/>
    <w:rsid w:val="00AA47A9"/>
    <w:rsid w:val="00AA47E4"/>
    <w:rsid w:val="00AA4F54"/>
    <w:rsid w:val="00AA521A"/>
    <w:rsid w:val="00AA6191"/>
    <w:rsid w:val="00AA6771"/>
    <w:rsid w:val="00AA7648"/>
    <w:rsid w:val="00AA7954"/>
    <w:rsid w:val="00AB0613"/>
    <w:rsid w:val="00AB0C0F"/>
    <w:rsid w:val="00AB0C24"/>
    <w:rsid w:val="00AB0D36"/>
    <w:rsid w:val="00AB0F2E"/>
    <w:rsid w:val="00AB14FF"/>
    <w:rsid w:val="00AB2362"/>
    <w:rsid w:val="00AB2536"/>
    <w:rsid w:val="00AB276D"/>
    <w:rsid w:val="00AB3E4D"/>
    <w:rsid w:val="00AB4F9C"/>
    <w:rsid w:val="00AB633E"/>
    <w:rsid w:val="00AB6C54"/>
    <w:rsid w:val="00AB717E"/>
    <w:rsid w:val="00AC06E6"/>
    <w:rsid w:val="00AC111C"/>
    <w:rsid w:val="00AC11DD"/>
    <w:rsid w:val="00AC1D08"/>
    <w:rsid w:val="00AC1DC8"/>
    <w:rsid w:val="00AC3914"/>
    <w:rsid w:val="00AC723E"/>
    <w:rsid w:val="00AD03DC"/>
    <w:rsid w:val="00AD24CB"/>
    <w:rsid w:val="00AD321E"/>
    <w:rsid w:val="00AD3BA5"/>
    <w:rsid w:val="00AD4040"/>
    <w:rsid w:val="00AD4559"/>
    <w:rsid w:val="00AD471D"/>
    <w:rsid w:val="00AD60CA"/>
    <w:rsid w:val="00AD621C"/>
    <w:rsid w:val="00AD6579"/>
    <w:rsid w:val="00AD661A"/>
    <w:rsid w:val="00AD76CE"/>
    <w:rsid w:val="00AE0434"/>
    <w:rsid w:val="00AE0490"/>
    <w:rsid w:val="00AE08E4"/>
    <w:rsid w:val="00AE1018"/>
    <w:rsid w:val="00AE1716"/>
    <w:rsid w:val="00AE1DA0"/>
    <w:rsid w:val="00AE363B"/>
    <w:rsid w:val="00AE3BE3"/>
    <w:rsid w:val="00AE3D1F"/>
    <w:rsid w:val="00AE3E7D"/>
    <w:rsid w:val="00AE4353"/>
    <w:rsid w:val="00AE440B"/>
    <w:rsid w:val="00AE44CA"/>
    <w:rsid w:val="00AE4AB0"/>
    <w:rsid w:val="00AE576D"/>
    <w:rsid w:val="00AE5A48"/>
    <w:rsid w:val="00AE62A2"/>
    <w:rsid w:val="00AE68A9"/>
    <w:rsid w:val="00AE72C6"/>
    <w:rsid w:val="00AE7CB0"/>
    <w:rsid w:val="00AF04CF"/>
    <w:rsid w:val="00AF1027"/>
    <w:rsid w:val="00AF1A57"/>
    <w:rsid w:val="00AF1F9A"/>
    <w:rsid w:val="00AF210B"/>
    <w:rsid w:val="00AF26E0"/>
    <w:rsid w:val="00AF2997"/>
    <w:rsid w:val="00AF2B48"/>
    <w:rsid w:val="00AF4772"/>
    <w:rsid w:val="00AF4A2F"/>
    <w:rsid w:val="00AF51F8"/>
    <w:rsid w:val="00AF51FD"/>
    <w:rsid w:val="00AF5F16"/>
    <w:rsid w:val="00AF6B82"/>
    <w:rsid w:val="00AF72F4"/>
    <w:rsid w:val="00AF7368"/>
    <w:rsid w:val="00B00C5E"/>
    <w:rsid w:val="00B01285"/>
    <w:rsid w:val="00B012C7"/>
    <w:rsid w:val="00B031AE"/>
    <w:rsid w:val="00B0386C"/>
    <w:rsid w:val="00B04082"/>
    <w:rsid w:val="00B050D8"/>
    <w:rsid w:val="00B05510"/>
    <w:rsid w:val="00B06BAC"/>
    <w:rsid w:val="00B0732C"/>
    <w:rsid w:val="00B07B31"/>
    <w:rsid w:val="00B1041C"/>
    <w:rsid w:val="00B10ECE"/>
    <w:rsid w:val="00B12522"/>
    <w:rsid w:val="00B12B25"/>
    <w:rsid w:val="00B13033"/>
    <w:rsid w:val="00B1403F"/>
    <w:rsid w:val="00B14408"/>
    <w:rsid w:val="00B1599A"/>
    <w:rsid w:val="00B1678C"/>
    <w:rsid w:val="00B16C7B"/>
    <w:rsid w:val="00B16D1A"/>
    <w:rsid w:val="00B16FA7"/>
    <w:rsid w:val="00B200A4"/>
    <w:rsid w:val="00B22B1D"/>
    <w:rsid w:val="00B22BF9"/>
    <w:rsid w:val="00B22EB6"/>
    <w:rsid w:val="00B232DA"/>
    <w:rsid w:val="00B23596"/>
    <w:rsid w:val="00B2494A"/>
    <w:rsid w:val="00B251EC"/>
    <w:rsid w:val="00B2676B"/>
    <w:rsid w:val="00B26FF0"/>
    <w:rsid w:val="00B27D17"/>
    <w:rsid w:val="00B3018E"/>
    <w:rsid w:val="00B30345"/>
    <w:rsid w:val="00B3180E"/>
    <w:rsid w:val="00B32455"/>
    <w:rsid w:val="00B32CAE"/>
    <w:rsid w:val="00B34155"/>
    <w:rsid w:val="00B35A4D"/>
    <w:rsid w:val="00B36936"/>
    <w:rsid w:val="00B40D01"/>
    <w:rsid w:val="00B40D29"/>
    <w:rsid w:val="00B4195D"/>
    <w:rsid w:val="00B41C7E"/>
    <w:rsid w:val="00B42046"/>
    <w:rsid w:val="00B42197"/>
    <w:rsid w:val="00B4222F"/>
    <w:rsid w:val="00B42631"/>
    <w:rsid w:val="00B427F1"/>
    <w:rsid w:val="00B430A2"/>
    <w:rsid w:val="00B4383A"/>
    <w:rsid w:val="00B43C1E"/>
    <w:rsid w:val="00B43F6C"/>
    <w:rsid w:val="00B43FF4"/>
    <w:rsid w:val="00B4458B"/>
    <w:rsid w:val="00B45A0C"/>
    <w:rsid w:val="00B46A83"/>
    <w:rsid w:val="00B46DDD"/>
    <w:rsid w:val="00B47C4B"/>
    <w:rsid w:val="00B47CDA"/>
    <w:rsid w:val="00B5060C"/>
    <w:rsid w:val="00B515F3"/>
    <w:rsid w:val="00B520EF"/>
    <w:rsid w:val="00B52C68"/>
    <w:rsid w:val="00B52DEA"/>
    <w:rsid w:val="00B5470A"/>
    <w:rsid w:val="00B54804"/>
    <w:rsid w:val="00B55250"/>
    <w:rsid w:val="00B57941"/>
    <w:rsid w:val="00B57C58"/>
    <w:rsid w:val="00B604FC"/>
    <w:rsid w:val="00B608C8"/>
    <w:rsid w:val="00B60957"/>
    <w:rsid w:val="00B611EB"/>
    <w:rsid w:val="00B6155F"/>
    <w:rsid w:val="00B616CE"/>
    <w:rsid w:val="00B618F9"/>
    <w:rsid w:val="00B61D2D"/>
    <w:rsid w:val="00B6257C"/>
    <w:rsid w:val="00B6369C"/>
    <w:rsid w:val="00B64A63"/>
    <w:rsid w:val="00B65A61"/>
    <w:rsid w:val="00B666EC"/>
    <w:rsid w:val="00B66A5D"/>
    <w:rsid w:val="00B67605"/>
    <w:rsid w:val="00B704A3"/>
    <w:rsid w:val="00B70E27"/>
    <w:rsid w:val="00B75583"/>
    <w:rsid w:val="00B772D6"/>
    <w:rsid w:val="00B8080E"/>
    <w:rsid w:val="00B80B96"/>
    <w:rsid w:val="00B817DC"/>
    <w:rsid w:val="00B81DB8"/>
    <w:rsid w:val="00B82B8B"/>
    <w:rsid w:val="00B83239"/>
    <w:rsid w:val="00B832C1"/>
    <w:rsid w:val="00B83ADE"/>
    <w:rsid w:val="00B83E96"/>
    <w:rsid w:val="00B852D3"/>
    <w:rsid w:val="00B85E25"/>
    <w:rsid w:val="00B86C7F"/>
    <w:rsid w:val="00B877DA"/>
    <w:rsid w:val="00B90009"/>
    <w:rsid w:val="00B90066"/>
    <w:rsid w:val="00B900C3"/>
    <w:rsid w:val="00B905FD"/>
    <w:rsid w:val="00B9199D"/>
    <w:rsid w:val="00B93217"/>
    <w:rsid w:val="00B93B09"/>
    <w:rsid w:val="00B9525F"/>
    <w:rsid w:val="00B95814"/>
    <w:rsid w:val="00B95D77"/>
    <w:rsid w:val="00B96A98"/>
    <w:rsid w:val="00B972D2"/>
    <w:rsid w:val="00BA0983"/>
    <w:rsid w:val="00BA1222"/>
    <w:rsid w:val="00BA32F4"/>
    <w:rsid w:val="00BA4D07"/>
    <w:rsid w:val="00BA5580"/>
    <w:rsid w:val="00BA56AE"/>
    <w:rsid w:val="00BA5B43"/>
    <w:rsid w:val="00BA5E1D"/>
    <w:rsid w:val="00BA6CF1"/>
    <w:rsid w:val="00BA6D23"/>
    <w:rsid w:val="00BA70B7"/>
    <w:rsid w:val="00BA73BF"/>
    <w:rsid w:val="00BA7C66"/>
    <w:rsid w:val="00BA7F52"/>
    <w:rsid w:val="00BB03D7"/>
    <w:rsid w:val="00BB043A"/>
    <w:rsid w:val="00BB0B68"/>
    <w:rsid w:val="00BB1093"/>
    <w:rsid w:val="00BB1419"/>
    <w:rsid w:val="00BB1640"/>
    <w:rsid w:val="00BB2538"/>
    <w:rsid w:val="00BB28F3"/>
    <w:rsid w:val="00BB2B5B"/>
    <w:rsid w:val="00BB3364"/>
    <w:rsid w:val="00BB36DD"/>
    <w:rsid w:val="00BB3DB7"/>
    <w:rsid w:val="00BB427E"/>
    <w:rsid w:val="00BB4799"/>
    <w:rsid w:val="00BB4B0A"/>
    <w:rsid w:val="00BB5B4E"/>
    <w:rsid w:val="00BB5CE4"/>
    <w:rsid w:val="00BB5D9A"/>
    <w:rsid w:val="00BB60A9"/>
    <w:rsid w:val="00BB6760"/>
    <w:rsid w:val="00BB6984"/>
    <w:rsid w:val="00BB6CF6"/>
    <w:rsid w:val="00BB6F2E"/>
    <w:rsid w:val="00BB7695"/>
    <w:rsid w:val="00BB7808"/>
    <w:rsid w:val="00BB7DAF"/>
    <w:rsid w:val="00BC12EF"/>
    <w:rsid w:val="00BC17DA"/>
    <w:rsid w:val="00BC2B3B"/>
    <w:rsid w:val="00BC3569"/>
    <w:rsid w:val="00BC494A"/>
    <w:rsid w:val="00BC5C7C"/>
    <w:rsid w:val="00BC692D"/>
    <w:rsid w:val="00BC71FE"/>
    <w:rsid w:val="00BC7E5F"/>
    <w:rsid w:val="00BD04DE"/>
    <w:rsid w:val="00BD0AC4"/>
    <w:rsid w:val="00BD0B52"/>
    <w:rsid w:val="00BD1A52"/>
    <w:rsid w:val="00BD3E70"/>
    <w:rsid w:val="00BD3F9C"/>
    <w:rsid w:val="00BD4466"/>
    <w:rsid w:val="00BD45EE"/>
    <w:rsid w:val="00BD49E9"/>
    <w:rsid w:val="00BE0828"/>
    <w:rsid w:val="00BE0B70"/>
    <w:rsid w:val="00BE1FA0"/>
    <w:rsid w:val="00BE2C60"/>
    <w:rsid w:val="00BE30F3"/>
    <w:rsid w:val="00BE319F"/>
    <w:rsid w:val="00BE3F49"/>
    <w:rsid w:val="00BE43FD"/>
    <w:rsid w:val="00BE44BA"/>
    <w:rsid w:val="00BE47C6"/>
    <w:rsid w:val="00BE49AC"/>
    <w:rsid w:val="00BE5366"/>
    <w:rsid w:val="00BE5709"/>
    <w:rsid w:val="00BE5C02"/>
    <w:rsid w:val="00BE635A"/>
    <w:rsid w:val="00BE6E4D"/>
    <w:rsid w:val="00BE7098"/>
    <w:rsid w:val="00BE7BE3"/>
    <w:rsid w:val="00BE7FC8"/>
    <w:rsid w:val="00BF0B16"/>
    <w:rsid w:val="00BF0C72"/>
    <w:rsid w:val="00BF0E06"/>
    <w:rsid w:val="00BF1657"/>
    <w:rsid w:val="00BF1E62"/>
    <w:rsid w:val="00BF2434"/>
    <w:rsid w:val="00BF2A29"/>
    <w:rsid w:val="00BF2D21"/>
    <w:rsid w:val="00BF4B21"/>
    <w:rsid w:val="00BF4D21"/>
    <w:rsid w:val="00BF4F85"/>
    <w:rsid w:val="00BF63F9"/>
    <w:rsid w:val="00BF6748"/>
    <w:rsid w:val="00BF7323"/>
    <w:rsid w:val="00BF79B9"/>
    <w:rsid w:val="00BF7ABE"/>
    <w:rsid w:val="00C0058A"/>
    <w:rsid w:val="00C0076E"/>
    <w:rsid w:val="00C01262"/>
    <w:rsid w:val="00C031FB"/>
    <w:rsid w:val="00C04501"/>
    <w:rsid w:val="00C045D0"/>
    <w:rsid w:val="00C04C7F"/>
    <w:rsid w:val="00C057B8"/>
    <w:rsid w:val="00C069B8"/>
    <w:rsid w:val="00C06C38"/>
    <w:rsid w:val="00C10134"/>
    <w:rsid w:val="00C112E7"/>
    <w:rsid w:val="00C12015"/>
    <w:rsid w:val="00C126C0"/>
    <w:rsid w:val="00C1286A"/>
    <w:rsid w:val="00C12A32"/>
    <w:rsid w:val="00C13685"/>
    <w:rsid w:val="00C13EFD"/>
    <w:rsid w:val="00C1596B"/>
    <w:rsid w:val="00C15C25"/>
    <w:rsid w:val="00C1617B"/>
    <w:rsid w:val="00C16B6F"/>
    <w:rsid w:val="00C16C25"/>
    <w:rsid w:val="00C1750F"/>
    <w:rsid w:val="00C20DE6"/>
    <w:rsid w:val="00C21B20"/>
    <w:rsid w:val="00C22C37"/>
    <w:rsid w:val="00C232E8"/>
    <w:rsid w:val="00C24BA3"/>
    <w:rsid w:val="00C24F1B"/>
    <w:rsid w:val="00C2505D"/>
    <w:rsid w:val="00C25E7F"/>
    <w:rsid w:val="00C26668"/>
    <w:rsid w:val="00C27CED"/>
    <w:rsid w:val="00C30C3C"/>
    <w:rsid w:val="00C310F5"/>
    <w:rsid w:val="00C3246E"/>
    <w:rsid w:val="00C336E7"/>
    <w:rsid w:val="00C33B2B"/>
    <w:rsid w:val="00C3458C"/>
    <w:rsid w:val="00C3497F"/>
    <w:rsid w:val="00C34E24"/>
    <w:rsid w:val="00C34F46"/>
    <w:rsid w:val="00C35948"/>
    <w:rsid w:val="00C36318"/>
    <w:rsid w:val="00C36351"/>
    <w:rsid w:val="00C368C0"/>
    <w:rsid w:val="00C37772"/>
    <w:rsid w:val="00C37FE0"/>
    <w:rsid w:val="00C410C9"/>
    <w:rsid w:val="00C41D03"/>
    <w:rsid w:val="00C42507"/>
    <w:rsid w:val="00C42C7C"/>
    <w:rsid w:val="00C43888"/>
    <w:rsid w:val="00C4407C"/>
    <w:rsid w:val="00C467AE"/>
    <w:rsid w:val="00C46D70"/>
    <w:rsid w:val="00C47BEA"/>
    <w:rsid w:val="00C50C9F"/>
    <w:rsid w:val="00C50E4E"/>
    <w:rsid w:val="00C51723"/>
    <w:rsid w:val="00C522A6"/>
    <w:rsid w:val="00C5286E"/>
    <w:rsid w:val="00C52D0F"/>
    <w:rsid w:val="00C532C6"/>
    <w:rsid w:val="00C5339E"/>
    <w:rsid w:val="00C54AB7"/>
    <w:rsid w:val="00C54E53"/>
    <w:rsid w:val="00C556B0"/>
    <w:rsid w:val="00C572F5"/>
    <w:rsid w:val="00C57AD4"/>
    <w:rsid w:val="00C57BCC"/>
    <w:rsid w:val="00C6069A"/>
    <w:rsid w:val="00C61506"/>
    <w:rsid w:val="00C619B6"/>
    <w:rsid w:val="00C63280"/>
    <w:rsid w:val="00C632A8"/>
    <w:rsid w:val="00C63C8E"/>
    <w:rsid w:val="00C64A45"/>
    <w:rsid w:val="00C6539E"/>
    <w:rsid w:val="00C65A61"/>
    <w:rsid w:val="00C66858"/>
    <w:rsid w:val="00C6747B"/>
    <w:rsid w:val="00C71576"/>
    <w:rsid w:val="00C71B16"/>
    <w:rsid w:val="00C7242D"/>
    <w:rsid w:val="00C72F92"/>
    <w:rsid w:val="00C73259"/>
    <w:rsid w:val="00C73306"/>
    <w:rsid w:val="00C7478F"/>
    <w:rsid w:val="00C74A4F"/>
    <w:rsid w:val="00C74D9F"/>
    <w:rsid w:val="00C756EF"/>
    <w:rsid w:val="00C758D0"/>
    <w:rsid w:val="00C75D9C"/>
    <w:rsid w:val="00C774A4"/>
    <w:rsid w:val="00C77CC2"/>
    <w:rsid w:val="00C77D2C"/>
    <w:rsid w:val="00C8042F"/>
    <w:rsid w:val="00C80815"/>
    <w:rsid w:val="00C8140C"/>
    <w:rsid w:val="00C82507"/>
    <w:rsid w:val="00C82BAE"/>
    <w:rsid w:val="00C83574"/>
    <w:rsid w:val="00C848C6"/>
    <w:rsid w:val="00C86313"/>
    <w:rsid w:val="00C8684B"/>
    <w:rsid w:val="00C878AB"/>
    <w:rsid w:val="00C87AB1"/>
    <w:rsid w:val="00C900D4"/>
    <w:rsid w:val="00C90121"/>
    <w:rsid w:val="00C9014E"/>
    <w:rsid w:val="00C901E2"/>
    <w:rsid w:val="00C9050F"/>
    <w:rsid w:val="00C91772"/>
    <w:rsid w:val="00C9279C"/>
    <w:rsid w:val="00C92A14"/>
    <w:rsid w:val="00C934C1"/>
    <w:rsid w:val="00C93619"/>
    <w:rsid w:val="00C93DC1"/>
    <w:rsid w:val="00C94598"/>
    <w:rsid w:val="00C94E34"/>
    <w:rsid w:val="00C9637F"/>
    <w:rsid w:val="00C968F4"/>
    <w:rsid w:val="00C97273"/>
    <w:rsid w:val="00C97C57"/>
    <w:rsid w:val="00C97EDD"/>
    <w:rsid w:val="00CA0DEC"/>
    <w:rsid w:val="00CA1613"/>
    <w:rsid w:val="00CA1E35"/>
    <w:rsid w:val="00CA2844"/>
    <w:rsid w:val="00CA4E62"/>
    <w:rsid w:val="00CA4FFA"/>
    <w:rsid w:val="00CA5C17"/>
    <w:rsid w:val="00CA6957"/>
    <w:rsid w:val="00CA6BD3"/>
    <w:rsid w:val="00CB1E4B"/>
    <w:rsid w:val="00CB2661"/>
    <w:rsid w:val="00CB29B5"/>
    <w:rsid w:val="00CB33B5"/>
    <w:rsid w:val="00CB3536"/>
    <w:rsid w:val="00CB3FD5"/>
    <w:rsid w:val="00CB4DA3"/>
    <w:rsid w:val="00CB4FA9"/>
    <w:rsid w:val="00CB5197"/>
    <w:rsid w:val="00CB6761"/>
    <w:rsid w:val="00CB6954"/>
    <w:rsid w:val="00CB7E47"/>
    <w:rsid w:val="00CC0581"/>
    <w:rsid w:val="00CC0A04"/>
    <w:rsid w:val="00CC0A4D"/>
    <w:rsid w:val="00CC117B"/>
    <w:rsid w:val="00CC1803"/>
    <w:rsid w:val="00CC308A"/>
    <w:rsid w:val="00CC322B"/>
    <w:rsid w:val="00CC3AA7"/>
    <w:rsid w:val="00CC3FE6"/>
    <w:rsid w:val="00CC48AD"/>
    <w:rsid w:val="00CC67F1"/>
    <w:rsid w:val="00CC6B7C"/>
    <w:rsid w:val="00CC7A6A"/>
    <w:rsid w:val="00CD06D0"/>
    <w:rsid w:val="00CD12B9"/>
    <w:rsid w:val="00CD2654"/>
    <w:rsid w:val="00CD273C"/>
    <w:rsid w:val="00CD2F3B"/>
    <w:rsid w:val="00CD3B07"/>
    <w:rsid w:val="00CD5754"/>
    <w:rsid w:val="00CD6E87"/>
    <w:rsid w:val="00CE07EA"/>
    <w:rsid w:val="00CE08E6"/>
    <w:rsid w:val="00CE155D"/>
    <w:rsid w:val="00CE1F8D"/>
    <w:rsid w:val="00CE217A"/>
    <w:rsid w:val="00CE26E1"/>
    <w:rsid w:val="00CE2C1A"/>
    <w:rsid w:val="00CE416E"/>
    <w:rsid w:val="00CE4F5F"/>
    <w:rsid w:val="00CE4FCF"/>
    <w:rsid w:val="00CE55B1"/>
    <w:rsid w:val="00CE6294"/>
    <w:rsid w:val="00CE65AF"/>
    <w:rsid w:val="00CE6781"/>
    <w:rsid w:val="00CE6B2B"/>
    <w:rsid w:val="00CE6E27"/>
    <w:rsid w:val="00CF0077"/>
    <w:rsid w:val="00CF2391"/>
    <w:rsid w:val="00CF31B1"/>
    <w:rsid w:val="00CF32E8"/>
    <w:rsid w:val="00CF3B3E"/>
    <w:rsid w:val="00CF4FC2"/>
    <w:rsid w:val="00CF5816"/>
    <w:rsid w:val="00CF651C"/>
    <w:rsid w:val="00CF6B00"/>
    <w:rsid w:val="00CF6F47"/>
    <w:rsid w:val="00D00D28"/>
    <w:rsid w:val="00D019E4"/>
    <w:rsid w:val="00D02339"/>
    <w:rsid w:val="00D0270C"/>
    <w:rsid w:val="00D02F08"/>
    <w:rsid w:val="00D02FF5"/>
    <w:rsid w:val="00D03DB0"/>
    <w:rsid w:val="00D04B50"/>
    <w:rsid w:val="00D062CD"/>
    <w:rsid w:val="00D06E76"/>
    <w:rsid w:val="00D07011"/>
    <w:rsid w:val="00D07826"/>
    <w:rsid w:val="00D07C85"/>
    <w:rsid w:val="00D108C0"/>
    <w:rsid w:val="00D10D70"/>
    <w:rsid w:val="00D10DB8"/>
    <w:rsid w:val="00D12F78"/>
    <w:rsid w:val="00D13410"/>
    <w:rsid w:val="00D13AC6"/>
    <w:rsid w:val="00D13AD5"/>
    <w:rsid w:val="00D13BE9"/>
    <w:rsid w:val="00D15202"/>
    <w:rsid w:val="00D15A99"/>
    <w:rsid w:val="00D15C39"/>
    <w:rsid w:val="00D171E2"/>
    <w:rsid w:val="00D1738C"/>
    <w:rsid w:val="00D17708"/>
    <w:rsid w:val="00D17711"/>
    <w:rsid w:val="00D2000A"/>
    <w:rsid w:val="00D20780"/>
    <w:rsid w:val="00D21745"/>
    <w:rsid w:val="00D22084"/>
    <w:rsid w:val="00D229E8"/>
    <w:rsid w:val="00D23167"/>
    <w:rsid w:val="00D2332C"/>
    <w:rsid w:val="00D24255"/>
    <w:rsid w:val="00D24BD3"/>
    <w:rsid w:val="00D25378"/>
    <w:rsid w:val="00D253CC"/>
    <w:rsid w:val="00D26A53"/>
    <w:rsid w:val="00D2730E"/>
    <w:rsid w:val="00D276EB"/>
    <w:rsid w:val="00D316EF"/>
    <w:rsid w:val="00D3187D"/>
    <w:rsid w:val="00D31BEB"/>
    <w:rsid w:val="00D320F3"/>
    <w:rsid w:val="00D33121"/>
    <w:rsid w:val="00D3317F"/>
    <w:rsid w:val="00D3460A"/>
    <w:rsid w:val="00D35102"/>
    <w:rsid w:val="00D3538E"/>
    <w:rsid w:val="00D3545C"/>
    <w:rsid w:val="00D366E9"/>
    <w:rsid w:val="00D3699E"/>
    <w:rsid w:val="00D37DBD"/>
    <w:rsid w:val="00D401A5"/>
    <w:rsid w:val="00D41407"/>
    <w:rsid w:val="00D420D4"/>
    <w:rsid w:val="00D4240D"/>
    <w:rsid w:val="00D42A63"/>
    <w:rsid w:val="00D4391F"/>
    <w:rsid w:val="00D44751"/>
    <w:rsid w:val="00D44B2A"/>
    <w:rsid w:val="00D44D82"/>
    <w:rsid w:val="00D46887"/>
    <w:rsid w:val="00D4698D"/>
    <w:rsid w:val="00D46E75"/>
    <w:rsid w:val="00D470FC"/>
    <w:rsid w:val="00D4796A"/>
    <w:rsid w:val="00D47DBA"/>
    <w:rsid w:val="00D50568"/>
    <w:rsid w:val="00D5080F"/>
    <w:rsid w:val="00D5126C"/>
    <w:rsid w:val="00D519B3"/>
    <w:rsid w:val="00D51B33"/>
    <w:rsid w:val="00D52CA3"/>
    <w:rsid w:val="00D537BD"/>
    <w:rsid w:val="00D53E66"/>
    <w:rsid w:val="00D55345"/>
    <w:rsid w:val="00D55676"/>
    <w:rsid w:val="00D55CB9"/>
    <w:rsid w:val="00D5663F"/>
    <w:rsid w:val="00D56A30"/>
    <w:rsid w:val="00D56D1B"/>
    <w:rsid w:val="00D6131C"/>
    <w:rsid w:val="00D61CA2"/>
    <w:rsid w:val="00D623A3"/>
    <w:rsid w:val="00D6244D"/>
    <w:rsid w:val="00D62A1F"/>
    <w:rsid w:val="00D63B86"/>
    <w:rsid w:val="00D642E2"/>
    <w:rsid w:val="00D65094"/>
    <w:rsid w:val="00D65BE1"/>
    <w:rsid w:val="00D65CA1"/>
    <w:rsid w:val="00D677CB"/>
    <w:rsid w:val="00D67DBB"/>
    <w:rsid w:val="00D70138"/>
    <w:rsid w:val="00D70572"/>
    <w:rsid w:val="00D70650"/>
    <w:rsid w:val="00D7076B"/>
    <w:rsid w:val="00D70C45"/>
    <w:rsid w:val="00D71627"/>
    <w:rsid w:val="00D72205"/>
    <w:rsid w:val="00D7230F"/>
    <w:rsid w:val="00D7256A"/>
    <w:rsid w:val="00D7283F"/>
    <w:rsid w:val="00D731F4"/>
    <w:rsid w:val="00D73276"/>
    <w:rsid w:val="00D7334E"/>
    <w:rsid w:val="00D74375"/>
    <w:rsid w:val="00D7495E"/>
    <w:rsid w:val="00D76E84"/>
    <w:rsid w:val="00D77674"/>
    <w:rsid w:val="00D777D4"/>
    <w:rsid w:val="00D77F26"/>
    <w:rsid w:val="00D80322"/>
    <w:rsid w:val="00D804B1"/>
    <w:rsid w:val="00D805C6"/>
    <w:rsid w:val="00D816F2"/>
    <w:rsid w:val="00D82D2E"/>
    <w:rsid w:val="00D82F5F"/>
    <w:rsid w:val="00D830C1"/>
    <w:rsid w:val="00D840FE"/>
    <w:rsid w:val="00D84BEA"/>
    <w:rsid w:val="00D84E04"/>
    <w:rsid w:val="00D85CE5"/>
    <w:rsid w:val="00D85FC5"/>
    <w:rsid w:val="00D86020"/>
    <w:rsid w:val="00D869CD"/>
    <w:rsid w:val="00D90A05"/>
    <w:rsid w:val="00D90CAE"/>
    <w:rsid w:val="00D91221"/>
    <w:rsid w:val="00D91239"/>
    <w:rsid w:val="00D9147C"/>
    <w:rsid w:val="00D92772"/>
    <w:rsid w:val="00D928AF"/>
    <w:rsid w:val="00D92C80"/>
    <w:rsid w:val="00D949E5"/>
    <w:rsid w:val="00D95CDD"/>
    <w:rsid w:val="00D96904"/>
    <w:rsid w:val="00DA0DEC"/>
    <w:rsid w:val="00DA34A8"/>
    <w:rsid w:val="00DA4353"/>
    <w:rsid w:val="00DA4CC2"/>
    <w:rsid w:val="00DA7272"/>
    <w:rsid w:val="00DA78E7"/>
    <w:rsid w:val="00DA7AEC"/>
    <w:rsid w:val="00DB0757"/>
    <w:rsid w:val="00DB27F6"/>
    <w:rsid w:val="00DB2917"/>
    <w:rsid w:val="00DB3289"/>
    <w:rsid w:val="00DB3FD0"/>
    <w:rsid w:val="00DB4039"/>
    <w:rsid w:val="00DB477A"/>
    <w:rsid w:val="00DB4FCF"/>
    <w:rsid w:val="00DB5635"/>
    <w:rsid w:val="00DB5DC2"/>
    <w:rsid w:val="00DB5FDA"/>
    <w:rsid w:val="00DB6B36"/>
    <w:rsid w:val="00DB701B"/>
    <w:rsid w:val="00DB706D"/>
    <w:rsid w:val="00DB7567"/>
    <w:rsid w:val="00DB7968"/>
    <w:rsid w:val="00DB79D2"/>
    <w:rsid w:val="00DC048C"/>
    <w:rsid w:val="00DC0539"/>
    <w:rsid w:val="00DC11D8"/>
    <w:rsid w:val="00DC12A6"/>
    <w:rsid w:val="00DC1EBE"/>
    <w:rsid w:val="00DC2BC2"/>
    <w:rsid w:val="00DC2C0E"/>
    <w:rsid w:val="00DC2EC7"/>
    <w:rsid w:val="00DC38A3"/>
    <w:rsid w:val="00DC55DC"/>
    <w:rsid w:val="00DC5693"/>
    <w:rsid w:val="00DC76E2"/>
    <w:rsid w:val="00DD086F"/>
    <w:rsid w:val="00DD112A"/>
    <w:rsid w:val="00DD14B5"/>
    <w:rsid w:val="00DD21B6"/>
    <w:rsid w:val="00DD29C6"/>
    <w:rsid w:val="00DD2B07"/>
    <w:rsid w:val="00DD4E7D"/>
    <w:rsid w:val="00DD5A21"/>
    <w:rsid w:val="00DD5E31"/>
    <w:rsid w:val="00DE0D7A"/>
    <w:rsid w:val="00DE1889"/>
    <w:rsid w:val="00DE1F59"/>
    <w:rsid w:val="00DE25B2"/>
    <w:rsid w:val="00DE29E7"/>
    <w:rsid w:val="00DE2EB5"/>
    <w:rsid w:val="00DE34E1"/>
    <w:rsid w:val="00DE3AF7"/>
    <w:rsid w:val="00DE3C87"/>
    <w:rsid w:val="00DE442B"/>
    <w:rsid w:val="00DE44A8"/>
    <w:rsid w:val="00DE4774"/>
    <w:rsid w:val="00DE4931"/>
    <w:rsid w:val="00DE57CE"/>
    <w:rsid w:val="00DE5F65"/>
    <w:rsid w:val="00DE6236"/>
    <w:rsid w:val="00DE6558"/>
    <w:rsid w:val="00DE6D9D"/>
    <w:rsid w:val="00DE73A0"/>
    <w:rsid w:val="00DE77B4"/>
    <w:rsid w:val="00DE7D46"/>
    <w:rsid w:val="00DE7E84"/>
    <w:rsid w:val="00DF1C45"/>
    <w:rsid w:val="00DF1F89"/>
    <w:rsid w:val="00DF2F85"/>
    <w:rsid w:val="00DF51B5"/>
    <w:rsid w:val="00DF533F"/>
    <w:rsid w:val="00DF59A5"/>
    <w:rsid w:val="00DF63CD"/>
    <w:rsid w:val="00DF6F4A"/>
    <w:rsid w:val="00DF71BF"/>
    <w:rsid w:val="00DF73C1"/>
    <w:rsid w:val="00DF78AB"/>
    <w:rsid w:val="00DF7FDE"/>
    <w:rsid w:val="00E00634"/>
    <w:rsid w:val="00E00683"/>
    <w:rsid w:val="00E01094"/>
    <w:rsid w:val="00E01D4B"/>
    <w:rsid w:val="00E0215D"/>
    <w:rsid w:val="00E03C94"/>
    <w:rsid w:val="00E044A2"/>
    <w:rsid w:val="00E045F6"/>
    <w:rsid w:val="00E04640"/>
    <w:rsid w:val="00E0495F"/>
    <w:rsid w:val="00E04B2A"/>
    <w:rsid w:val="00E04C31"/>
    <w:rsid w:val="00E05388"/>
    <w:rsid w:val="00E061DA"/>
    <w:rsid w:val="00E06CEB"/>
    <w:rsid w:val="00E11605"/>
    <w:rsid w:val="00E117C9"/>
    <w:rsid w:val="00E11B7C"/>
    <w:rsid w:val="00E11EB3"/>
    <w:rsid w:val="00E12D32"/>
    <w:rsid w:val="00E140D7"/>
    <w:rsid w:val="00E14180"/>
    <w:rsid w:val="00E149EB"/>
    <w:rsid w:val="00E1690C"/>
    <w:rsid w:val="00E17292"/>
    <w:rsid w:val="00E200A0"/>
    <w:rsid w:val="00E202AD"/>
    <w:rsid w:val="00E20326"/>
    <w:rsid w:val="00E20979"/>
    <w:rsid w:val="00E20CE4"/>
    <w:rsid w:val="00E220AE"/>
    <w:rsid w:val="00E23C9B"/>
    <w:rsid w:val="00E2440D"/>
    <w:rsid w:val="00E25614"/>
    <w:rsid w:val="00E27C61"/>
    <w:rsid w:val="00E30015"/>
    <w:rsid w:val="00E30DC3"/>
    <w:rsid w:val="00E3164B"/>
    <w:rsid w:val="00E317EF"/>
    <w:rsid w:val="00E342B8"/>
    <w:rsid w:val="00E3433E"/>
    <w:rsid w:val="00E34AC0"/>
    <w:rsid w:val="00E34EA4"/>
    <w:rsid w:val="00E352A3"/>
    <w:rsid w:val="00E358B5"/>
    <w:rsid w:val="00E37C06"/>
    <w:rsid w:val="00E4117F"/>
    <w:rsid w:val="00E41B3A"/>
    <w:rsid w:val="00E41D2D"/>
    <w:rsid w:val="00E41EAE"/>
    <w:rsid w:val="00E420F0"/>
    <w:rsid w:val="00E42C39"/>
    <w:rsid w:val="00E4301D"/>
    <w:rsid w:val="00E432DB"/>
    <w:rsid w:val="00E43A45"/>
    <w:rsid w:val="00E44588"/>
    <w:rsid w:val="00E44873"/>
    <w:rsid w:val="00E4576E"/>
    <w:rsid w:val="00E46027"/>
    <w:rsid w:val="00E46120"/>
    <w:rsid w:val="00E46B92"/>
    <w:rsid w:val="00E477F1"/>
    <w:rsid w:val="00E47E0D"/>
    <w:rsid w:val="00E50126"/>
    <w:rsid w:val="00E50A5C"/>
    <w:rsid w:val="00E50E5B"/>
    <w:rsid w:val="00E52937"/>
    <w:rsid w:val="00E53276"/>
    <w:rsid w:val="00E53AD5"/>
    <w:rsid w:val="00E53E0E"/>
    <w:rsid w:val="00E5567F"/>
    <w:rsid w:val="00E579CF"/>
    <w:rsid w:val="00E60450"/>
    <w:rsid w:val="00E60AEF"/>
    <w:rsid w:val="00E61135"/>
    <w:rsid w:val="00E61B7E"/>
    <w:rsid w:val="00E62612"/>
    <w:rsid w:val="00E6377B"/>
    <w:rsid w:val="00E637E4"/>
    <w:rsid w:val="00E63CCB"/>
    <w:rsid w:val="00E63D95"/>
    <w:rsid w:val="00E646D9"/>
    <w:rsid w:val="00E648C7"/>
    <w:rsid w:val="00E64F54"/>
    <w:rsid w:val="00E669E0"/>
    <w:rsid w:val="00E70A05"/>
    <w:rsid w:val="00E7239C"/>
    <w:rsid w:val="00E72E4C"/>
    <w:rsid w:val="00E72FAD"/>
    <w:rsid w:val="00E73291"/>
    <w:rsid w:val="00E74422"/>
    <w:rsid w:val="00E755B4"/>
    <w:rsid w:val="00E77B3E"/>
    <w:rsid w:val="00E82431"/>
    <w:rsid w:val="00E8274B"/>
    <w:rsid w:val="00E83400"/>
    <w:rsid w:val="00E838FC"/>
    <w:rsid w:val="00E8678B"/>
    <w:rsid w:val="00E87846"/>
    <w:rsid w:val="00E8793C"/>
    <w:rsid w:val="00E900FE"/>
    <w:rsid w:val="00E902CB"/>
    <w:rsid w:val="00E90959"/>
    <w:rsid w:val="00E90C00"/>
    <w:rsid w:val="00E913C2"/>
    <w:rsid w:val="00E924AA"/>
    <w:rsid w:val="00E92B09"/>
    <w:rsid w:val="00E9366D"/>
    <w:rsid w:val="00E94FA0"/>
    <w:rsid w:val="00E95759"/>
    <w:rsid w:val="00E957C7"/>
    <w:rsid w:val="00E962F3"/>
    <w:rsid w:val="00E97163"/>
    <w:rsid w:val="00EA0035"/>
    <w:rsid w:val="00EA10AF"/>
    <w:rsid w:val="00EA171C"/>
    <w:rsid w:val="00EA1A1D"/>
    <w:rsid w:val="00EA1B5F"/>
    <w:rsid w:val="00EA1D06"/>
    <w:rsid w:val="00EA2F97"/>
    <w:rsid w:val="00EA3EDC"/>
    <w:rsid w:val="00EA46A8"/>
    <w:rsid w:val="00EA4BE6"/>
    <w:rsid w:val="00EA4C13"/>
    <w:rsid w:val="00EA4F70"/>
    <w:rsid w:val="00EA6C03"/>
    <w:rsid w:val="00EA7123"/>
    <w:rsid w:val="00EA7531"/>
    <w:rsid w:val="00EB17A1"/>
    <w:rsid w:val="00EB1CB9"/>
    <w:rsid w:val="00EB205D"/>
    <w:rsid w:val="00EB2801"/>
    <w:rsid w:val="00EB2924"/>
    <w:rsid w:val="00EB3436"/>
    <w:rsid w:val="00EB39FD"/>
    <w:rsid w:val="00EB3C35"/>
    <w:rsid w:val="00EB5144"/>
    <w:rsid w:val="00EB6788"/>
    <w:rsid w:val="00EB787A"/>
    <w:rsid w:val="00EB7908"/>
    <w:rsid w:val="00EC07EC"/>
    <w:rsid w:val="00EC169E"/>
    <w:rsid w:val="00EC1AFE"/>
    <w:rsid w:val="00EC22BC"/>
    <w:rsid w:val="00EC232D"/>
    <w:rsid w:val="00EC25F7"/>
    <w:rsid w:val="00EC3768"/>
    <w:rsid w:val="00EC3A5E"/>
    <w:rsid w:val="00EC41EF"/>
    <w:rsid w:val="00EC5115"/>
    <w:rsid w:val="00EC7123"/>
    <w:rsid w:val="00EC7C3D"/>
    <w:rsid w:val="00ED181D"/>
    <w:rsid w:val="00ED2D6C"/>
    <w:rsid w:val="00ED4475"/>
    <w:rsid w:val="00ED5297"/>
    <w:rsid w:val="00ED5383"/>
    <w:rsid w:val="00ED5900"/>
    <w:rsid w:val="00ED5E3F"/>
    <w:rsid w:val="00ED6ADA"/>
    <w:rsid w:val="00ED6EF1"/>
    <w:rsid w:val="00ED6FF4"/>
    <w:rsid w:val="00ED7C63"/>
    <w:rsid w:val="00EE0753"/>
    <w:rsid w:val="00EE0B7E"/>
    <w:rsid w:val="00EE118E"/>
    <w:rsid w:val="00EE17FC"/>
    <w:rsid w:val="00EE3624"/>
    <w:rsid w:val="00EE3770"/>
    <w:rsid w:val="00EE3E58"/>
    <w:rsid w:val="00EE5198"/>
    <w:rsid w:val="00EE59F6"/>
    <w:rsid w:val="00EE6090"/>
    <w:rsid w:val="00EE6434"/>
    <w:rsid w:val="00EE6815"/>
    <w:rsid w:val="00EE7750"/>
    <w:rsid w:val="00EE7B56"/>
    <w:rsid w:val="00EF000C"/>
    <w:rsid w:val="00EF0A39"/>
    <w:rsid w:val="00EF127C"/>
    <w:rsid w:val="00EF136A"/>
    <w:rsid w:val="00EF1A5A"/>
    <w:rsid w:val="00EF21BE"/>
    <w:rsid w:val="00EF29FE"/>
    <w:rsid w:val="00EF3665"/>
    <w:rsid w:val="00EF42E1"/>
    <w:rsid w:val="00EF54CF"/>
    <w:rsid w:val="00EF56DA"/>
    <w:rsid w:val="00F00BD8"/>
    <w:rsid w:val="00F00F4F"/>
    <w:rsid w:val="00F0137F"/>
    <w:rsid w:val="00F0153E"/>
    <w:rsid w:val="00F01643"/>
    <w:rsid w:val="00F01A74"/>
    <w:rsid w:val="00F02059"/>
    <w:rsid w:val="00F028E4"/>
    <w:rsid w:val="00F02E38"/>
    <w:rsid w:val="00F03314"/>
    <w:rsid w:val="00F04EB8"/>
    <w:rsid w:val="00F06298"/>
    <w:rsid w:val="00F06B98"/>
    <w:rsid w:val="00F07882"/>
    <w:rsid w:val="00F07EA4"/>
    <w:rsid w:val="00F107BB"/>
    <w:rsid w:val="00F11F13"/>
    <w:rsid w:val="00F13432"/>
    <w:rsid w:val="00F14207"/>
    <w:rsid w:val="00F14AF2"/>
    <w:rsid w:val="00F1502F"/>
    <w:rsid w:val="00F15CBF"/>
    <w:rsid w:val="00F165E3"/>
    <w:rsid w:val="00F168C9"/>
    <w:rsid w:val="00F174A7"/>
    <w:rsid w:val="00F17618"/>
    <w:rsid w:val="00F1786A"/>
    <w:rsid w:val="00F200AC"/>
    <w:rsid w:val="00F20677"/>
    <w:rsid w:val="00F20D12"/>
    <w:rsid w:val="00F22781"/>
    <w:rsid w:val="00F22B4B"/>
    <w:rsid w:val="00F23E35"/>
    <w:rsid w:val="00F23E39"/>
    <w:rsid w:val="00F240C9"/>
    <w:rsid w:val="00F2426E"/>
    <w:rsid w:val="00F24AC1"/>
    <w:rsid w:val="00F2550C"/>
    <w:rsid w:val="00F25534"/>
    <w:rsid w:val="00F25CEE"/>
    <w:rsid w:val="00F2644C"/>
    <w:rsid w:val="00F2670F"/>
    <w:rsid w:val="00F26CEB"/>
    <w:rsid w:val="00F27128"/>
    <w:rsid w:val="00F30A01"/>
    <w:rsid w:val="00F30ECD"/>
    <w:rsid w:val="00F31457"/>
    <w:rsid w:val="00F31783"/>
    <w:rsid w:val="00F32A4C"/>
    <w:rsid w:val="00F331E6"/>
    <w:rsid w:val="00F33926"/>
    <w:rsid w:val="00F33F82"/>
    <w:rsid w:val="00F34335"/>
    <w:rsid w:val="00F343F1"/>
    <w:rsid w:val="00F34C9D"/>
    <w:rsid w:val="00F36E64"/>
    <w:rsid w:val="00F37C24"/>
    <w:rsid w:val="00F40798"/>
    <w:rsid w:val="00F40FC4"/>
    <w:rsid w:val="00F412CD"/>
    <w:rsid w:val="00F428F3"/>
    <w:rsid w:val="00F42DA1"/>
    <w:rsid w:val="00F434BB"/>
    <w:rsid w:val="00F436C8"/>
    <w:rsid w:val="00F43780"/>
    <w:rsid w:val="00F44329"/>
    <w:rsid w:val="00F453E4"/>
    <w:rsid w:val="00F45F0A"/>
    <w:rsid w:val="00F461DF"/>
    <w:rsid w:val="00F462AC"/>
    <w:rsid w:val="00F46431"/>
    <w:rsid w:val="00F46A6D"/>
    <w:rsid w:val="00F502D7"/>
    <w:rsid w:val="00F5152B"/>
    <w:rsid w:val="00F518F2"/>
    <w:rsid w:val="00F5231F"/>
    <w:rsid w:val="00F52F37"/>
    <w:rsid w:val="00F531D7"/>
    <w:rsid w:val="00F53A51"/>
    <w:rsid w:val="00F55587"/>
    <w:rsid w:val="00F565C6"/>
    <w:rsid w:val="00F5677E"/>
    <w:rsid w:val="00F57342"/>
    <w:rsid w:val="00F57403"/>
    <w:rsid w:val="00F62029"/>
    <w:rsid w:val="00F62467"/>
    <w:rsid w:val="00F629BC"/>
    <w:rsid w:val="00F63F50"/>
    <w:rsid w:val="00F64035"/>
    <w:rsid w:val="00F6406E"/>
    <w:rsid w:val="00F644B8"/>
    <w:rsid w:val="00F64B5D"/>
    <w:rsid w:val="00F65516"/>
    <w:rsid w:val="00F65546"/>
    <w:rsid w:val="00F65756"/>
    <w:rsid w:val="00F6575B"/>
    <w:rsid w:val="00F663B6"/>
    <w:rsid w:val="00F66F14"/>
    <w:rsid w:val="00F67099"/>
    <w:rsid w:val="00F6748C"/>
    <w:rsid w:val="00F70CC0"/>
    <w:rsid w:val="00F7308A"/>
    <w:rsid w:val="00F73524"/>
    <w:rsid w:val="00F743F2"/>
    <w:rsid w:val="00F75FC2"/>
    <w:rsid w:val="00F775B2"/>
    <w:rsid w:val="00F8242B"/>
    <w:rsid w:val="00F82D4A"/>
    <w:rsid w:val="00F83253"/>
    <w:rsid w:val="00F835A1"/>
    <w:rsid w:val="00F8440C"/>
    <w:rsid w:val="00F846CB"/>
    <w:rsid w:val="00F84F37"/>
    <w:rsid w:val="00F860B7"/>
    <w:rsid w:val="00F868F3"/>
    <w:rsid w:val="00F87062"/>
    <w:rsid w:val="00F8779D"/>
    <w:rsid w:val="00F87AC7"/>
    <w:rsid w:val="00F90614"/>
    <w:rsid w:val="00F90763"/>
    <w:rsid w:val="00F91403"/>
    <w:rsid w:val="00F91E7A"/>
    <w:rsid w:val="00F92430"/>
    <w:rsid w:val="00F933B3"/>
    <w:rsid w:val="00F9393A"/>
    <w:rsid w:val="00F942D8"/>
    <w:rsid w:val="00F9552A"/>
    <w:rsid w:val="00F95639"/>
    <w:rsid w:val="00F959FE"/>
    <w:rsid w:val="00F96053"/>
    <w:rsid w:val="00F9733E"/>
    <w:rsid w:val="00F97BAA"/>
    <w:rsid w:val="00FA0688"/>
    <w:rsid w:val="00FA09E7"/>
    <w:rsid w:val="00FA0FCC"/>
    <w:rsid w:val="00FA1360"/>
    <w:rsid w:val="00FA1A81"/>
    <w:rsid w:val="00FA2691"/>
    <w:rsid w:val="00FA2AAD"/>
    <w:rsid w:val="00FA5090"/>
    <w:rsid w:val="00FA7097"/>
    <w:rsid w:val="00FA75F3"/>
    <w:rsid w:val="00FA788E"/>
    <w:rsid w:val="00FA7D46"/>
    <w:rsid w:val="00FA7FEF"/>
    <w:rsid w:val="00FB0833"/>
    <w:rsid w:val="00FB1889"/>
    <w:rsid w:val="00FB1A0B"/>
    <w:rsid w:val="00FB2B0E"/>
    <w:rsid w:val="00FB2DD7"/>
    <w:rsid w:val="00FB2FA1"/>
    <w:rsid w:val="00FB4482"/>
    <w:rsid w:val="00FB5969"/>
    <w:rsid w:val="00FB60A3"/>
    <w:rsid w:val="00FB7C22"/>
    <w:rsid w:val="00FC0C43"/>
    <w:rsid w:val="00FC1108"/>
    <w:rsid w:val="00FC1CBB"/>
    <w:rsid w:val="00FC1CCC"/>
    <w:rsid w:val="00FC2840"/>
    <w:rsid w:val="00FC2A08"/>
    <w:rsid w:val="00FC3272"/>
    <w:rsid w:val="00FC3E9C"/>
    <w:rsid w:val="00FC433A"/>
    <w:rsid w:val="00FC4C08"/>
    <w:rsid w:val="00FC51E8"/>
    <w:rsid w:val="00FC6B4C"/>
    <w:rsid w:val="00FC7C04"/>
    <w:rsid w:val="00FD030F"/>
    <w:rsid w:val="00FD2723"/>
    <w:rsid w:val="00FD2E4D"/>
    <w:rsid w:val="00FD344E"/>
    <w:rsid w:val="00FD3BB9"/>
    <w:rsid w:val="00FD429B"/>
    <w:rsid w:val="00FD678D"/>
    <w:rsid w:val="00FD6D6E"/>
    <w:rsid w:val="00FD73CB"/>
    <w:rsid w:val="00FE077B"/>
    <w:rsid w:val="00FE0C3E"/>
    <w:rsid w:val="00FE0D98"/>
    <w:rsid w:val="00FE1114"/>
    <w:rsid w:val="00FE2555"/>
    <w:rsid w:val="00FE2AB7"/>
    <w:rsid w:val="00FE2E8D"/>
    <w:rsid w:val="00FE31D1"/>
    <w:rsid w:val="00FE32BB"/>
    <w:rsid w:val="00FE3619"/>
    <w:rsid w:val="00FE36C5"/>
    <w:rsid w:val="00FE3B5C"/>
    <w:rsid w:val="00FE42C1"/>
    <w:rsid w:val="00FE42DC"/>
    <w:rsid w:val="00FE5093"/>
    <w:rsid w:val="00FE5FE2"/>
    <w:rsid w:val="00FE6B46"/>
    <w:rsid w:val="00FE6B6D"/>
    <w:rsid w:val="00FE7116"/>
    <w:rsid w:val="00FE7303"/>
    <w:rsid w:val="00FF000D"/>
    <w:rsid w:val="00FF054B"/>
    <w:rsid w:val="00FF0828"/>
    <w:rsid w:val="00FF0D71"/>
    <w:rsid w:val="00FF0FAB"/>
    <w:rsid w:val="00FF1421"/>
    <w:rsid w:val="00FF1C7B"/>
    <w:rsid w:val="00FF25F5"/>
    <w:rsid w:val="00FF2DC1"/>
    <w:rsid w:val="00FF4594"/>
    <w:rsid w:val="00FF47DA"/>
    <w:rsid w:val="00FF579A"/>
    <w:rsid w:val="00FF798C"/>
    <w:rsid w:val="07204EE5"/>
    <w:rsid w:val="089E28D3"/>
    <w:rsid w:val="0B594A6B"/>
    <w:rsid w:val="0F7C5768"/>
    <w:rsid w:val="129C2530"/>
    <w:rsid w:val="1C126E3A"/>
    <w:rsid w:val="1E1C48A3"/>
    <w:rsid w:val="208325BB"/>
    <w:rsid w:val="20E15A18"/>
    <w:rsid w:val="23DC33A0"/>
    <w:rsid w:val="25EF0CA8"/>
    <w:rsid w:val="2B23525F"/>
    <w:rsid w:val="376F08B2"/>
    <w:rsid w:val="3F19392E"/>
    <w:rsid w:val="3FB523DC"/>
    <w:rsid w:val="43D83C3F"/>
    <w:rsid w:val="43FD74FC"/>
    <w:rsid w:val="4AA750D5"/>
    <w:rsid w:val="4D8B6AA7"/>
    <w:rsid w:val="4EEE36E4"/>
    <w:rsid w:val="555142E7"/>
    <w:rsid w:val="5B934138"/>
    <w:rsid w:val="65E7483D"/>
    <w:rsid w:val="72342F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5"/>
    <w:qFormat/>
    <w:uiPriority w:val="0"/>
    <w:pPr>
      <w:keepNext/>
      <w:widowControl/>
      <w:numPr>
        <w:ilvl w:val="0"/>
        <w:numId w:val="1"/>
      </w:numPr>
      <w:jc w:val="center"/>
      <w:outlineLvl w:val="0"/>
    </w:pPr>
    <w:rPr>
      <w:rFonts w:ascii="黑体" w:eastAsia="黑体"/>
      <w:kern w:val="0"/>
      <w:sz w:val="52"/>
      <w:szCs w:val="20"/>
    </w:rPr>
  </w:style>
  <w:style w:type="paragraph" w:styleId="3">
    <w:name w:val="heading 2"/>
    <w:basedOn w:val="1"/>
    <w:next w:val="4"/>
    <w:link w:val="116"/>
    <w:qFormat/>
    <w:uiPriority w:val="0"/>
    <w:pPr>
      <w:keepNext/>
      <w:keepLines/>
      <w:widowControl/>
      <w:spacing w:before="260" w:after="260" w:line="415" w:lineRule="auto"/>
      <w:jc w:val="center"/>
      <w:outlineLvl w:val="1"/>
    </w:pPr>
    <w:rPr>
      <w:rFonts w:ascii="Arial" w:hAnsi="Arial" w:eastAsia="黑体"/>
      <w:b/>
      <w:kern w:val="0"/>
      <w:sz w:val="36"/>
      <w:szCs w:val="20"/>
    </w:rPr>
  </w:style>
  <w:style w:type="paragraph" w:styleId="5">
    <w:name w:val="heading 3"/>
    <w:basedOn w:val="1"/>
    <w:next w:val="4"/>
    <w:link w:val="112"/>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6">
    <w:name w:val="heading 4"/>
    <w:basedOn w:val="1"/>
    <w:next w:val="1"/>
    <w:link w:val="117"/>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1"/>
    <w:link w:val="118"/>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8">
    <w:name w:val="heading 6"/>
    <w:basedOn w:val="1"/>
    <w:next w:val="1"/>
    <w:link w:val="119"/>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9">
    <w:name w:val="heading 7"/>
    <w:basedOn w:val="1"/>
    <w:next w:val="1"/>
    <w:link w:val="120"/>
    <w:qFormat/>
    <w:uiPriority w:val="0"/>
    <w:pPr>
      <w:keepNext/>
      <w:keepLines/>
      <w:widowControl/>
      <w:numPr>
        <w:ilvl w:val="6"/>
        <w:numId w:val="1"/>
      </w:numPr>
      <w:spacing w:before="240" w:after="64" w:line="320" w:lineRule="auto"/>
      <w:jc w:val="left"/>
      <w:outlineLvl w:val="6"/>
    </w:pPr>
    <w:rPr>
      <w:b/>
      <w:bCs/>
      <w:kern w:val="0"/>
      <w:sz w:val="24"/>
    </w:rPr>
  </w:style>
  <w:style w:type="paragraph" w:styleId="10">
    <w:name w:val="heading 8"/>
    <w:basedOn w:val="1"/>
    <w:next w:val="1"/>
    <w:link w:val="121"/>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1">
    <w:name w:val="heading 9"/>
    <w:basedOn w:val="1"/>
    <w:next w:val="1"/>
    <w:link w:val="122"/>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106"/>
    <w:qFormat/>
    <w:uiPriority w:val="0"/>
    <w:pPr>
      <w:ind w:firstLine="420" w:firstLineChars="200"/>
    </w:pPr>
  </w:style>
  <w:style w:type="paragraph" w:styleId="12">
    <w:name w:val="toc 7"/>
    <w:basedOn w:val="1"/>
    <w:next w:val="1"/>
    <w:qFormat/>
    <w:uiPriority w:val="39"/>
    <w:pPr>
      <w:ind w:left="1260"/>
      <w:jc w:val="left"/>
    </w:pPr>
    <w:rPr>
      <w:sz w:val="18"/>
      <w:szCs w:val="18"/>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153"/>
    <w:qFormat/>
    <w:uiPriority w:val="0"/>
    <w:pPr>
      <w:shd w:val="clear" w:color="auto" w:fill="000080"/>
    </w:pPr>
    <w:rPr>
      <w:kern w:val="0"/>
      <w:sz w:val="20"/>
      <w:shd w:val="clear" w:color="auto" w:fill="000080"/>
    </w:rPr>
  </w:style>
  <w:style w:type="paragraph" w:styleId="15">
    <w:name w:val="annotation text"/>
    <w:basedOn w:val="1"/>
    <w:link w:val="101"/>
    <w:qFormat/>
    <w:uiPriority w:val="0"/>
    <w:pPr>
      <w:adjustRightInd w:val="0"/>
      <w:spacing w:line="360" w:lineRule="atLeast"/>
      <w:jc w:val="left"/>
      <w:textAlignment w:val="baseline"/>
    </w:pPr>
    <w:rPr>
      <w:kern w:val="0"/>
      <w:sz w:val="24"/>
      <w:szCs w:val="20"/>
    </w:rPr>
  </w:style>
  <w:style w:type="paragraph" w:styleId="16">
    <w:name w:val="Salutation"/>
    <w:basedOn w:val="1"/>
    <w:next w:val="1"/>
    <w:qFormat/>
    <w:uiPriority w:val="0"/>
    <w:rPr>
      <w:rFonts w:ascii="仿宋_GB2312" w:eastAsia="仿宋_GB2312"/>
      <w:sz w:val="28"/>
      <w:szCs w:val="20"/>
    </w:rPr>
  </w:style>
  <w:style w:type="paragraph" w:styleId="17">
    <w:name w:val="Body Text 3"/>
    <w:basedOn w:val="1"/>
    <w:link w:val="127"/>
    <w:qFormat/>
    <w:uiPriority w:val="99"/>
    <w:pPr>
      <w:adjustRightInd w:val="0"/>
      <w:snapToGrid w:val="0"/>
    </w:pPr>
    <w:rPr>
      <w:rFonts w:ascii="仿宋_GB2312" w:hAnsi="宋体" w:eastAsia="仿宋_GB2312"/>
      <w:color w:val="000000"/>
      <w:sz w:val="24"/>
    </w:rPr>
  </w:style>
  <w:style w:type="paragraph" w:styleId="18">
    <w:name w:val="Body Text"/>
    <w:basedOn w:val="1"/>
    <w:link w:val="125"/>
    <w:qFormat/>
    <w:uiPriority w:val="0"/>
    <w:pPr>
      <w:spacing w:after="120"/>
    </w:pPr>
  </w:style>
  <w:style w:type="paragraph" w:styleId="19">
    <w:name w:val="Body Text Indent"/>
    <w:basedOn w:val="1"/>
    <w:link w:val="104"/>
    <w:qFormat/>
    <w:uiPriority w:val="0"/>
    <w:pPr>
      <w:spacing w:after="120"/>
      <w:ind w:left="420" w:leftChars="200"/>
    </w:pPr>
  </w:style>
  <w:style w:type="paragraph" w:styleId="20">
    <w:name w:val="List 2"/>
    <w:basedOn w:val="1"/>
    <w:qFormat/>
    <w:uiPriority w:val="0"/>
    <w:pPr>
      <w:ind w:left="100" w:leftChars="200" w:hanging="200" w:hangingChars="200"/>
    </w:pPr>
  </w:style>
  <w:style w:type="paragraph" w:styleId="21">
    <w:name w:val="List Continue"/>
    <w:basedOn w:val="1"/>
    <w:qFormat/>
    <w:uiPriority w:val="0"/>
    <w:pPr>
      <w:spacing w:after="120"/>
      <w:ind w:left="420" w:leftChars="200"/>
    </w:pPr>
  </w:style>
  <w:style w:type="paragraph" w:styleId="22">
    <w:name w:val="Block Text"/>
    <w:basedOn w:val="1"/>
    <w:qFormat/>
    <w:uiPriority w:val="0"/>
    <w:pPr>
      <w:spacing w:after="120"/>
      <w:ind w:left="1440" w:leftChars="700" w:right="1440" w:rightChars="700"/>
    </w:pPr>
  </w:style>
  <w:style w:type="paragraph" w:styleId="23">
    <w:name w:val="index 4"/>
    <w:basedOn w:val="1"/>
    <w:next w:val="1"/>
    <w:qFormat/>
    <w:uiPriority w:val="0"/>
    <w:pPr>
      <w:ind w:left="600" w:leftChars="600"/>
    </w:pPr>
  </w:style>
  <w:style w:type="paragraph" w:styleId="24">
    <w:name w:val="toc 5"/>
    <w:basedOn w:val="1"/>
    <w:next w:val="1"/>
    <w:qFormat/>
    <w:uiPriority w:val="39"/>
    <w:pPr>
      <w:ind w:left="840"/>
      <w:jc w:val="left"/>
    </w:pPr>
    <w:rPr>
      <w:sz w:val="18"/>
      <w:szCs w:val="18"/>
    </w:rPr>
  </w:style>
  <w:style w:type="paragraph" w:styleId="25">
    <w:name w:val="toc 3"/>
    <w:basedOn w:val="1"/>
    <w:next w:val="1"/>
    <w:qFormat/>
    <w:uiPriority w:val="39"/>
    <w:pPr>
      <w:ind w:left="420"/>
      <w:jc w:val="left"/>
    </w:pPr>
    <w:rPr>
      <w:i/>
      <w:iCs/>
      <w:sz w:val="20"/>
      <w:szCs w:val="20"/>
    </w:rPr>
  </w:style>
  <w:style w:type="paragraph" w:styleId="26">
    <w:name w:val="Plain Text"/>
    <w:basedOn w:val="1"/>
    <w:link w:val="97"/>
    <w:qFormat/>
    <w:uiPriority w:val="0"/>
    <w:rPr>
      <w:rFonts w:ascii="宋体" w:hAnsi="Courier New" w:cs="Courier New"/>
      <w:szCs w:val="21"/>
    </w:rPr>
  </w:style>
  <w:style w:type="paragraph" w:styleId="27">
    <w:name w:val="toc 8"/>
    <w:basedOn w:val="1"/>
    <w:next w:val="1"/>
    <w:qFormat/>
    <w:uiPriority w:val="39"/>
    <w:pPr>
      <w:ind w:left="1470"/>
      <w:jc w:val="left"/>
    </w:pPr>
    <w:rPr>
      <w:sz w:val="18"/>
      <w:szCs w:val="18"/>
    </w:rPr>
  </w:style>
  <w:style w:type="paragraph" w:styleId="28">
    <w:name w:val="Date"/>
    <w:basedOn w:val="1"/>
    <w:next w:val="1"/>
    <w:link w:val="99"/>
    <w:qFormat/>
    <w:uiPriority w:val="0"/>
    <w:rPr>
      <w:sz w:val="24"/>
      <w:szCs w:val="20"/>
    </w:rPr>
  </w:style>
  <w:style w:type="paragraph" w:styleId="29">
    <w:name w:val="Body Text Indent 2"/>
    <w:basedOn w:val="1"/>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30">
    <w:name w:val="endnote text"/>
    <w:basedOn w:val="1"/>
    <w:link w:val="187"/>
    <w:qFormat/>
    <w:uiPriority w:val="0"/>
    <w:pPr>
      <w:snapToGrid w:val="0"/>
      <w:jc w:val="left"/>
    </w:pPr>
  </w:style>
  <w:style w:type="paragraph" w:styleId="31">
    <w:name w:val="Balloon Text"/>
    <w:basedOn w:val="1"/>
    <w:link w:val="128"/>
    <w:qFormat/>
    <w:uiPriority w:val="0"/>
    <w:rPr>
      <w:sz w:val="18"/>
      <w:szCs w:val="18"/>
    </w:rPr>
  </w:style>
  <w:style w:type="paragraph" w:styleId="32">
    <w:name w:val="footer"/>
    <w:basedOn w:val="1"/>
    <w:link w:val="124"/>
    <w:qFormat/>
    <w:uiPriority w:val="0"/>
    <w:pPr>
      <w:tabs>
        <w:tab w:val="center" w:pos="4153"/>
        <w:tab w:val="right" w:pos="8306"/>
      </w:tabs>
      <w:snapToGrid w:val="0"/>
      <w:jc w:val="left"/>
    </w:pPr>
    <w:rPr>
      <w:sz w:val="18"/>
      <w:szCs w:val="18"/>
    </w:rPr>
  </w:style>
  <w:style w:type="paragraph" w:styleId="33">
    <w:name w:val="header"/>
    <w:basedOn w:val="1"/>
    <w:link w:val="126"/>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345"/>
      </w:tabs>
      <w:spacing w:before="120" w:after="120"/>
      <w:jc w:val="left"/>
    </w:pPr>
    <w:rPr>
      <w:b/>
      <w:bCs/>
      <w:caps/>
      <w:kern w:val="44"/>
      <w:szCs w:val="21"/>
    </w:rPr>
  </w:style>
  <w:style w:type="paragraph" w:styleId="35">
    <w:name w:val="toc 4"/>
    <w:basedOn w:val="1"/>
    <w:next w:val="1"/>
    <w:qFormat/>
    <w:uiPriority w:val="39"/>
    <w:pPr>
      <w:adjustRightInd w:val="0"/>
      <w:snapToGrid w:val="0"/>
      <w:spacing w:beforeLines="20" w:afterLines="20"/>
      <w:ind w:left="630"/>
      <w:jc w:val="left"/>
    </w:pPr>
    <w:rPr>
      <w:sz w:val="24"/>
    </w:rPr>
  </w:style>
  <w:style w:type="paragraph" w:styleId="36">
    <w:name w:val="index heading"/>
    <w:basedOn w:val="1"/>
    <w:next w:val="37"/>
    <w:semiHidden/>
    <w:qFormat/>
    <w:uiPriority w:val="0"/>
  </w:style>
  <w:style w:type="paragraph" w:styleId="37">
    <w:name w:val="index 1"/>
    <w:basedOn w:val="1"/>
    <w:next w:val="1"/>
    <w:semiHidden/>
    <w:qFormat/>
    <w:uiPriority w:val="0"/>
    <w:rPr>
      <w:rFonts w:ascii="宋体" w:hAnsi="宋体"/>
      <w:b/>
      <w:bCs/>
    </w:rPr>
  </w:style>
  <w:style w:type="paragraph" w:styleId="38">
    <w:name w:val="Subtitle"/>
    <w:basedOn w:val="1"/>
    <w:link w:val="129"/>
    <w:qFormat/>
    <w:uiPriority w:val="0"/>
    <w:pPr>
      <w:spacing w:before="240" w:after="60" w:line="312" w:lineRule="auto"/>
      <w:jc w:val="center"/>
      <w:outlineLvl w:val="1"/>
    </w:pPr>
    <w:rPr>
      <w:rFonts w:ascii="Arial" w:hAnsi="Arial" w:cs="Arial"/>
      <w:b/>
      <w:bCs/>
      <w:kern w:val="28"/>
      <w:sz w:val="32"/>
      <w:szCs w:val="32"/>
    </w:rPr>
  </w:style>
  <w:style w:type="paragraph" w:styleId="39">
    <w:name w:val="List"/>
    <w:basedOn w:val="1"/>
    <w:qFormat/>
    <w:uiPriority w:val="0"/>
    <w:pPr>
      <w:ind w:left="200" w:hanging="200" w:hangingChars="200"/>
    </w:pPr>
  </w:style>
  <w:style w:type="paragraph" w:styleId="40">
    <w:name w:val="footnote text"/>
    <w:basedOn w:val="1"/>
    <w:link w:val="168"/>
    <w:qFormat/>
    <w:uiPriority w:val="0"/>
    <w:pPr>
      <w:adjustRightInd w:val="0"/>
      <w:snapToGrid w:val="0"/>
      <w:spacing w:line="420" w:lineRule="atLeast"/>
      <w:ind w:firstLine="454"/>
      <w:jc w:val="left"/>
      <w:textAlignment w:val="baseline"/>
    </w:pPr>
    <w:rPr>
      <w:kern w:val="0"/>
      <w:sz w:val="18"/>
      <w:szCs w:val="20"/>
    </w:rPr>
  </w:style>
  <w:style w:type="paragraph" w:styleId="41">
    <w:name w:val="toc 6"/>
    <w:basedOn w:val="1"/>
    <w:next w:val="1"/>
    <w:qFormat/>
    <w:uiPriority w:val="39"/>
    <w:pPr>
      <w:ind w:left="1050"/>
      <w:jc w:val="left"/>
    </w:pPr>
    <w:rPr>
      <w:sz w:val="18"/>
      <w:szCs w:val="18"/>
    </w:rPr>
  </w:style>
  <w:style w:type="paragraph" w:styleId="42">
    <w:name w:val="Body Text Indent 3"/>
    <w:basedOn w:val="1"/>
    <w:link w:val="123"/>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43">
    <w:name w:val="toc 2"/>
    <w:basedOn w:val="1"/>
    <w:next w:val="1"/>
    <w:qFormat/>
    <w:uiPriority w:val="39"/>
    <w:pPr>
      <w:ind w:left="210"/>
      <w:jc w:val="left"/>
    </w:pPr>
    <w:rPr>
      <w:smallCaps/>
      <w:sz w:val="20"/>
      <w:szCs w:val="20"/>
    </w:rPr>
  </w:style>
  <w:style w:type="paragraph" w:styleId="44">
    <w:name w:val="toc 9"/>
    <w:basedOn w:val="1"/>
    <w:next w:val="1"/>
    <w:qFormat/>
    <w:uiPriority w:val="39"/>
    <w:pPr>
      <w:ind w:left="1680"/>
      <w:jc w:val="left"/>
    </w:pPr>
    <w:rPr>
      <w:sz w:val="18"/>
      <w:szCs w:val="18"/>
    </w:rPr>
  </w:style>
  <w:style w:type="paragraph" w:styleId="45">
    <w:name w:val="Body Text 2"/>
    <w:basedOn w:val="1"/>
    <w:qFormat/>
    <w:uiPriority w:val="0"/>
    <w:pPr>
      <w:spacing w:line="360" w:lineRule="auto"/>
    </w:pPr>
    <w:rPr>
      <w:rFonts w:ascii="宋体"/>
      <w:spacing w:val="-20"/>
      <w:sz w:val="28"/>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Title"/>
    <w:basedOn w:val="1"/>
    <w:link w:val="131"/>
    <w:qFormat/>
    <w:uiPriority w:val="0"/>
    <w:pPr>
      <w:spacing w:before="240" w:after="60"/>
      <w:jc w:val="center"/>
      <w:outlineLvl w:val="0"/>
    </w:pPr>
    <w:rPr>
      <w:rFonts w:ascii="Arial" w:hAnsi="Arial" w:cs="Arial"/>
      <w:b/>
      <w:bCs/>
      <w:sz w:val="32"/>
      <w:szCs w:val="32"/>
    </w:rPr>
  </w:style>
  <w:style w:type="paragraph" w:styleId="48">
    <w:name w:val="annotation subject"/>
    <w:basedOn w:val="15"/>
    <w:next w:val="15"/>
    <w:link w:val="130"/>
    <w:qFormat/>
    <w:uiPriority w:val="0"/>
    <w:pPr>
      <w:adjustRightInd/>
      <w:spacing w:line="240" w:lineRule="auto"/>
      <w:textAlignment w:val="auto"/>
    </w:pPr>
    <w:rPr>
      <w:b/>
      <w:bCs/>
      <w:kern w:val="2"/>
      <w:sz w:val="21"/>
      <w:szCs w:val="24"/>
    </w:rPr>
  </w:style>
  <w:style w:type="table" w:styleId="50">
    <w:name w:val="Table Grid"/>
    <w:basedOn w:val="4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2">
    <w:name w:val="Strong"/>
    <w:qFormat/>
    <w:uiPriority w:val="0"/>
    <w:rPr>
      <w:b/>
      <w:bCs/>
    </w:rPr>
  </w:style>
  <w:style w:type="character" w:styleId="53">
    <w:name w:val="endnote reference"/>
    <w:qFormat/>
    <w:uiPriority w:val="0"/>
    <w:rPr>
      <w:vertAlign w:val="superscript"/>
    </w:rPr>
  </w:style>
  <w:style w:type="character" w:styleId="54">
    <w:name w:val="page number"/>
    <w:basedOn w:val="51"/>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styleId="59">
    <w:name w:val="footnote reference"/>
    <w:qFormat/>
    <w:uiPriority w:val="0"/>
    <w:rPr>
      <w:vertAlign w:val="superscript"/>
    </w:rPr>
  </w:style>
  <w:style w:type="paragraph" w:customStyle="1" w:styleId="60">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1">
    <w:name w:val="目录"/>
    <w:basedOn w:val="1"/>
    <w:qFormat/>
    <w:uiPriority w:val="0"/>
    <w:pPr>
      <w:widowControl/>
      <w:jc w:val="center"/>
    </w:pPr>
    <w:rPr>
      <w:rFonts w:ascii="宋体"/>
      <w:b/>
      <w:kern w:val="0"/>
      <w:sz w:val="36"/>
      <w:szCs w:val="20"/>
    </w:rPr>
  </w:style>
  <w:style w:type="paragraph" w:customStyle="1" w:styleId="62">
    <w:name w:val="目录文字"/>
    <w:basedOn w:val="1"/>
    <w:qFormat/>
    <w:uiPriority w:val="0"/>
    <w:pPr>
      <w:widowControl/>
      <w:spacing w:line="480" w:lineRule="auto"/>
      <w:jc w:val="left"/>
    </w:pPr>
    <w:rPr>
      <w:rFonts w:ascii="宋体" w:hAnsi="宋体"/>
      <w:kern w:val="0"/>
      <w:sz w:val="24"/>
      <w:szCs w:val="20"/>
    </w:rPr>
  </w:style>
  <w:style w:type="paragraph" w:customStyle="1" w:styleId="6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64">
    <w:name w:val="样式1"/>
    <w:basedOn w:val="1"/>
    <w:qFormat/>
    <w:uiPriority w:val="0"/>
    <w:pPr>
      <w:spacing w:before="120" w:after="120" w:line="300" w:lineRule="auto"/>
    </w:pPr>
    <w:rPr>
      <w:rFonts w:ascii="宋体" w:hAnsi="宋体"/>
      <w:b/>
      <w:sz w:val="24"/>
      <w:szCs w:val="20"/>
    </w:rPr>
  </w:style>
  <w:style w:type="paragraph" w:customStyle="1" w:styleId="6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6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8"/>
      <w:szCs w:val="18"/>
    </w:rPr>
  </w:style>
  <w:style w:type="paragraph" w:customStyle="1" w:styleId="67">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18"/>
      <w:szCs w:val="18"/>
    </w:rPr>
  </w:style>
  <w:style w:type="paragraph" w:customStyle="1" w:styleId="68">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6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18"/>
      <w:szCs w:val="18"/>
    </w:rPr>
  </w:style>
  <w:style w:type="paragraph" w:customStyle="1" w:styleId="7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1">
    <w:name w:val="xl2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73">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74">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18"/>
      <w:szCs w:val="18"/>
    </w:rPr>
  </w:style>
  <w:style w:type="paragraph" w:customStyle="1" w:styleId="75">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7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77">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8"/>
      <w:szCs w:val="18"/>
    </w:rPr>
  </w:style>
  <w:style w:type="paragraph" w:customStyle="1" w:styleId="78">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7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80">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82">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83">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84">
    <w:name w:val="xl42"/>
    <w:basedOn w:val="1"/>
    <w:qFormat/>
    <w:uiPriority w:val="0"/>
    <w:pPr>
      <w:widowControl/>
      <w:spacing w:before="100" w:beforeAutospacing="1" w:after="100" w:afterAutospacing="1"/>
      <w:jc w:val="center"/>
      <w:textAlignment w:val="center"/>
    </w:pPr>
    <w:rPr>
      <w:rFonts w:ascii="宋体" w:hAnsi="宋体"/>
      <w:b/>
      <w:bCs/>
      <w:kern w:val="0"/>
      <w:sz w:val="32"/>
      <w:szCs w:val="32"/>
    </w:rPr>
  </w:style>
  <w:style w:type="paragraph" w:customStyle="1" w:styleId="85">
    <w:name w:val="xl43"/>
    <w:basedOn w:val="1"/>
    <w:qFormat/>
    <w:uiPriority w:val="0"/>
    <w:pPr>
      <w:widowControl/>
      <w:spacing w:before="100" w:beforeAutospacing="1" w:after="100" w:afterAutospacing="1"/>
      <w:jc w:val="left"/>
      <w:textAlignment w:val="top"/>
    </w:pPr>
    <w:rPr>
      <w:rFonts w:ascii="宋体" w:hAnsi="宋体"/>
      <w:kern w:val="0"/>
      <w:sz w:val="24"/>
    </w:rPr>
  </w:style>
  <w:style w:type="paragraph" w:customStyle="1" w:styleId="86">
    <w:name w:val="xl44"/>
    <w:basedOn w:val="1"/>
    <w:qFormat/>
    <w:uiPriority w:val="0"/>
    <w:pPr>
      <w:widowControl/>
      <w:spacing w:before="100" w:beforeAutospacing="1" w:after="100" w:afterAutospacing="1"/>
      <w:jc w:val="center"/>
      <w:textAlignment w:val="center"/>
    </w:pPr>
    <w:rPr>
      <w:rFonts w:ascii="宋体" w:hAnsi="宋体"/>
      <w:b/>
      <w:bCs/>
      <w:kern w:val="0"/>
      <w:sz w:val="32"/>
      <w:szCs w:val="32"/>
    </w:rPr>
  </w:style>
  <w:style w:type="paragraph" w:customStyle="1" w:styleId="87">
    <w:name w:val="xl45"/>
    <w:basedOn w:val="1"/>
    <w:qFormat/>
    <w:uiPriority w:val="0"/>
    <w:pPr>
      <w:widowControl/>
      <w:spacing w:before="100" w:beforeAutospacing="1" w:after="100" w:afterAutospacing="1"/>
      <w:jc w:val="left"/>
      <w:textAlignment w:val="top"/>
    </w:pPr>
    <w:rPr>
      <w:rFonts w:ascii="宋体" w:hAnsi="宋体"/>
      <w:kern w:val="0"/>
      <w:sz w:val="24"/>
    </w:rPr>
  </w:style>
  <w:style w:type="paragraph" w:customStyle="1" w:styleId="88">
    <w:name w:val="font6"/>
    <w:basedOn w:val="1"/>
    <w:qFormat/>
    <w:uiPriority w:val="0"/>
    <w:pPr>
      <w:widowControl/>
      <w:spacing w:before="100" w:beforeAutospacing="1" w:after="100" w:afterAutospacing="1"/>
      <w:jc w:val="left"/>
    </w:pPr>
    <w:rPr>
      <w:kern w:val="0"/>
      <w:sz w:val="18"/>
      <w:szCs w:val="18"/>
    </w:rPr>
  </w:style>
  <w:style w:type="paragraph" w:customStyle="1" w:styleId="8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9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1">
    <w:name w:val="Char Char Char Char Char"/>
    <w:basedOn w:val="1"/>
    <w:qFormat/>
    <w:uiPriority w:val="0"/>
    <w:rPr>
      <w:rFonts w:ascii="Tahoma" w:hAnsi="Tahoma"/>
      <w:sz w:val="24"/>
      <w:szCs w:val="20"/>
    </w:rPr>
  </w:style>
  <w:style w:type="paragraph" w:customStyle="1" w:styleId="92">
    <w:name w:val="范本目录"/>
    <w:basedOn w:val="1"/>
    <w:qFormat/>
    <w:uiPriority w:val="0"/>
    <w:pPr>
      <w:adjustRightInd w:val="0"/>
      <w:snapToGrid w:val="0"/>
      <w:spacing w:beforeLines="20" w:afterLines="20" w:line="540" w:lineRule="exact"/>
      <w:jc w:val="center"/>
    </w:pPr>
    <w:rPr>
      <w:rFonts w:hAnsi="宋体"/>
      <w:b/>
      <w:bCs/>
      <w:sz w:val="36"/>
    </w:rPr>
  </w:style>
  <w:style w:type="paragraph" w:customStyle="1" w:styleId="93">
    <w:name w:val="Default Paragraph Char Char Char Char"/>
    <w:basedOn w:val="1"/>
    <w:next w:val="1"/>
    <w:qFormat/>
    <w:uiPriority w:val="0"/>
    <w:pPr>
      <w:widowControl/>
      <w:spacing w:line="360" w:lineRule="auto"/>
      <w:jc w:val="left"/>
    </w:pPr>
    <w:rPr>
      <w:kern w:val="0"/>
      <w:szCs w:val="20"/>
      <w:lang w:eastAsia="en-US"/>
    </w:rPr>
  </w:style>
  <w:style w:type="paragraph" w:customStyle="1" w:styleId="94">
    <w:name w:val="Char"/>
    <w:basedOn w:val="1"/>
    <w:next w:val="1"/>
    <w:qFormat/>
    <w:uiPriority w:val="0"/>
    <w:pPr>
      <w:widowControl/>
      <w:spacing w:line="360" w:lineRule="auto"/>
      <w:jc w:val="left"/>
    </w:pPr>
    <w:rPr>
      <w:kern w:val="0"/>
      <w:szCs w:val="20"/>
      <w:lang w:eastAsia="en-US"/>
    </w:rPr>
  </w:style>
  <w:style w:type="paragraph" w:customStyle="1" w:styleId="95">
    <w:name w:val="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96">
    <w:name w:val="Char2"/>
    <w:basedOn w:val="1"/>
    <w:next w:val="1"/>
    <w:qFormat/>
    <w:uiPriority w:val="0"/>
  </w:style>
  <w:style w:type="character" w:customStyle="1" w:styleId="97">
    <w:name w:val="纯文本 Char"/>
    <w:link w:val="26"/>
    <w:qFormat/>
    <w:uiPriority w:val="0"/>
    <w:rPr>
      <w:rFonts w:ascii="宋体" w:hAnsi="Courier New" w:eastAsia="宋体" w:cs="Courier New"/>
      <w:kern w:val="2"/>
      <w:sz w:val="21"/>
      <w:szCs w:val="21"/>
      <w:lang w:val="en-US" w:eastAsia="zh-CN" w:bidi="ar-SA"/>
    </w:rPr>
  </w:style>
  <w:style w:type="character" w:customStyle="1" w:styleId="98">
    <w:name w:val="Char Char"/>
    <w:qFormat/>
    <w:uiPriority w:val="0"/>
    <w:rPr>
      <w:rFonts w:ascii="宋体" w:hAnsi="Courier New"/>
      <w:kern w:val="2"/>
      <w:sz w:val="21"/>
    </w:rPr>
  </w:style>
  <w:style w:type="character" w:customStyle="1" w:styleId="99">
    <w:name w:val="日期 Char"/>
    <w:link w:val="28"/>
    <w:qFormat/>
    <w:uiPriority w:val="0"/>
    <w:rPr>
      <w:rFonts w:eastAsia="宋体"/>
      <w:kern w:val="2"/>
      <w:sz w:val="24"/>
      <w:lang w:val="en-US" w:eastAsia="zh-CN" w:bidi="ar-SA"/>
    </w:rPr>
  </w:style>
  <w:style w:type="character" w:customStyle="1" w:styleId="100">
    <w:name w:val="Char Char6"/>
    <w:qFormat/>
    <w:uiPriority w:val="0"/>
    <w:rPr>
      <w:rFonts w:ascii="宋体" w:hAnsi="Courier New" w:cs="Courier New"/>
      <w:kern w:val="2"/>
      <w:sz w:val="21"/>
      <w:szCs w:val="21"/>
    </w:rPr>
  </w:style>
  <w:style w:type="character" w:customStyle="1" w:styleId="101">
    <w:name w:val="批注文字 Char"/>
    <w:link w:val="15"/>
    <w:qFormat/>
    <w:locked/>
    <w:uiPriority w:val="0"/>
    <w:rPr>
      <w:rFonts w:eastAsia="宋体"/>
      <w:sz w:val="24"/>
      <w:lang w:val="en-US" w:eastAsia="zh-CN" w:bidi="ar-SA"/>
    </w:rPr>
  </w:style>
  <w:style w:type="paragraph" w:styleId="102">
    <w:name w:val="List Paragraph"/>
    <w:basedOn w:val="1"/>
    <w:qFormat/>
    <w:uiPriority w:val="0"/>
    <w:pPr>
      <w:ind w:firstLine="420" w:firstLineChars="200"/>
    </w:pPr>
  </w:style>
  <w:style w:type="character" w:customStyle="1" w:styleId="103">
    <w:name w:val="Char Char2"/>
    <w:qFormat/>
    <w:uiPriority w:val="0"/>
    <w:rPr>
      <w:rFonts w:ascii="宋体" w:hAnsi="Courier New" w:eastAsia="宋体" w:cs="Courier New"/>
      <w:kern w:val="2"/>
      <w:sz w:val="21"/>
      <w:szCs w:val="21"/>
      <w:lang w:val="en-US" w:eastAsia="zh-CN" w:bidi="ar-SA"/>
    </w:rPr>
  </w:style>
  <w:style w:type="character" w:customStyle="1" w:styleId="104">
    <w:name w:val="正文文本缩进 Char"/>
    <w:link w:val="19"/>
    <w:qFormat/>
    <w:uiPriority w:val="0"/>
    <w:rPr>
      <w:rFonts w:eastAsia="宋体"/>
      <w:kern w:val="2"/>
      <w:sz w:val="21"/>
      <w:szCs w:val="24"/>
      <w:lang w:val="en-US" w:eastAsia="zh-CN" w:bidi="ar-SA"/>
    </w:rPr>
  </w:style>
  <w:style w:type="character" w:customStyle="1" w:styleId="105">
    <w:name w:val="纯文本 Char1"/>
    <w:qFormat/>
    <w:uiPriority w:val="99"/>
    <w:rPr>
      <w:rFonts w:ascii="宋体" w:hAnsi="Courier New" w:eastAsia="宋体" w:cs="Courier New"/>
      <w:kern w:val="2"/>
      <w:sz w:val="21"/>
      <w:szCs w:val="21"/>
      <w:lang w:val="en-US" w:eastAsia="zh-CN" w:bidi="ar-SA"/>
    </w:rPr>
  </w:style>
  <w:style w:type="character" w:customStyle="1" w:styleId="106">
    <w:name w:val="正文缩进 Char"/>
    <w:link w:val="4"/>
    <w:qFormat/>
    <w:uiPriority w:val="0"/>
    <w:rPr>
      <w:kern w:val="2"/>
      <w:sz w:val="21"/>
      <w:szCs w:val="24"/>
    </w:rPr>
  </w:style>
  <w:style w:type="paragraph" w:customStyle="1" w:styleId="107">
    <w:name w:val="正文1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08">
    <w:name w:val="Char Char Char Char Char1"/>
    <w:basedOn w:val="1"/>
    <w:qFormat/>
    <w:uiPriority w:val="0"/>
    <w:rPr>
      <w:rFonts w:ascii="Tahoma" w:hAnsi="Tahoma"/>
      <w:sz w:val="24"/>
      <w:szCs w:val="20"/>
    </w:rPr>
  </w:style>
  <w:style w:type="paragraph" w:customStyle="1" w:styleId="109">
    <w:name w:val="Char1"/>
    <w:basedOn w:val="1"/>
    <w:next w:val="1"/>
    <w:qFormat/>
    <w:uiPriority w:val="0"/>
    <w:pPr>
      <w:widowControl/>
      <w:spacing w:line="360" w:lineRule="auto"/>
      <w:jc w:val="left"/>
    </w:pPr>
    <w:rPr>
      <w:kern w:val="0"/>
      <w:szCs w:val="20"/>
      <w:lang w:eastAsia="en-US"/>
    </w:rPr>
  </w:style>
  <w:style w:type="paragraph" w:customStyle="1" w:styleId="110">
    <w:name w:val="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character" w:customStyle="1" w:styleId="111">
    <w:name w:val="普通文字1 Char"/>
    <w:qFormat/>
    <w:uiPriority w:val="0"/>
    <w:rPr>
      <w:rFonts w:ascii="宋体" w:hAnsi="Courier New" w:eastAsia="宋体" w:cs="Courier New"/>
      <w:kern w:val="2"/>
      <w:sz w:val="21"/>
      <w:szCs w:val="21"/>
      <w:lang w:val="en-US" w:eastAsia="zh-CN" w:bidi="ar-SA"/>
    </w:rPr>
  </w:style>
  <w:style w:type="character" w:customStyle="1" w:styleId="112">
    <w:name w:val="标题 3 Char1"/>
    <w:link w:val="5"/>
    <w:qFormat/>
    <w:uiPriority w:val="0"/>
    <w:rPr>
      <w:b/>
      <w:sz w:val="32"/>
    </w:rPr>
  </w:style>
  <w:style w:type="paragraph" w:customStyle="1" w:styleId="113">
    <w:name w:val="1"/>
    <w:basedOn w:val="1"/>
    <w:next w:val="26"/>
    <w:qFormat/>
    <w:uiPriority w:val="0"/>
    <w:rPr>
      <w:rFonts w:ascii="宋体" w:hAnsi="Courier New" w:cs="Courier New"/>
      <w:szCs w:val="21"/>
    </w:rPr>
  </w:style>
  <w:style w:type="paragraph" w:customStyle="1" w:styleId="114">
    <w:name w:val="Normal1"/>
    <w:qFormat/>
    <w:uiPriority w:val="0"/>
    <w:pPr>
      <w:widowControl w:val="0"/>
      <w:adjustRightInd w:val="0"/>
      <w:spacing w:line="312" w:lineRule="atLeast"/>
      <w:jc w:val="both"/>
    </w:pPr>
    <w:rPr>
      <w:rFonts w:ascii="宋体" w:hAnsi="Times New Roman" w:eastAsia="宋体" w:cs="Times New Roman"/>
      <w:sz w:val="24"/>
      <w:lang w:val="en-US" w:eastAsia="zh-CN" w:bidi="ar-SA"/>
    </w:rPr>
  </w:style>
  <w:style w:type="character" w:customStyle="1" w:styleId="115">
    <w:name w:val="标题 1 Char"/>
    <w:link w:val="2"/>
    <w:qFormat/>
    <w:uiPriority w:val="0"/>
    <w:rPr>
      <w:rFonts w:ascii="黑体" w:eastAsia="黑体"/>
      <w:sz w:val="52"/>
    </w:rPr>
  </w:style>
  <w:style w:type="character" w:customStyle="1" w:styleId="116">
    <w:name w:val="标题 2 Char"/>
    <w:link w:val="3"/>
    <w:qFormat/>
    <w:uiPriority w:val="0"/>
    <w:rPr>
      <w:rFonts w:ascii="Arial" w:hAnsi="Arial" w:eastAsia="黑体"/>
      <w:b/>
      <w:sz w:val="36"/>
    </w:rPr>
  </w:style>
  <w:style w:type="character" w:customStyle="1" w:styleId="117">
    <w:name w:val="标题 4 Char"/>
    <w:link w:val="6"/>
    <w:qFormat/>
    <w:uiPriority w:val="0"/>
    <w:rPr>
      <w:rFonts w:ascii="Arial" w:hAnsi="Arial" w:eastAsia="黑体"/>
      <w:sz w:val="28"/>
    </w:rPr>
  </w:style>
  <w:style w:type="character" w:customStyle="1" w:styleId="118">
    <w:name w:val="标题 5 Char"/>
    <w:link w:val="7"/>
    <w:qFormat/>
    <w:uiPriority w:val="0"/>
    <w:rPr>
      <w:rFonts w:ascii="宋体" w:hAnsi="宋体"/>
      <w:b/>
      <w:sz w:val="24"/>
    </w:rPr>
  </w:style>
  <w:style w:type="character" w:customStyle="1" w:styleId="119">
    <w:name w:val="标题 6 Char"/>
    <w:link w:val="8"/>
    <w:qFormat/>
    <w:uiPriority w:val="0"/>
    <w:rPr>
      <w:rFonts w:ascii="Arial" w:hAnsi="Arial" w:eastAsia="黑体"/>
      <w:b/>
      <w:bCs/>
      <w:sz w:val="24"/>
      <w:szCs w:val="24"/>
    </w:rPr>
  </w:style>
  <w:style w:type="character" w:customStyle="1" w:styleId="120">
    <w:name w:val="标题 7 Char"/>
    <w:link w:val="9"/>
    <w:qFormat/>
    <w:uiPriority w:val="0"/>
    <w:rPr>
      <w:b/>
      <w:bCs/>
      <w:sz w:val="24"/>
      <w:szCs w:val="24"/>
    </w:rPr>
  </w:style>
  <w:style w:type="character" w:customStyle="1" w:styleId="121">
    <w:name w:val="标题 8 Char"/>
    <w:link w:val="10"/>
    <w:qFormat/>
    <w:uiPriority w:val="0"/>
    <w:rPr>
      <w:rFonts w:ascii="Arial" w:hAnsi="Arial" w:eastAsia="黑体"/>
      <w:sz w:val="24"/>
      <w:szCs w:val="24"/>
    </w:rPr>
  </w:style>
  <w:style w:type="character" w:customStyle="1" w:styleId="122">
    <w:name w:val="标题 9 Char"/>
    <w:link w:val="11"/>
    <w:qFormat/>
    <w:uiPriority w:val="0"/>
    <w:rPr>
      <w:rFonts w:ascii="Arial" w:hAnsi="Arial" w:eastAsia="黑体"/>
      <w:sz w:val="21"/>
      <w:szCs w:val="21"/>
    </w:rPr>
  </w:style>
  <w:style w:type="character" w:customStyle="1" w:styleId="123">
    <w:name w:val="正文文本缩进 3 Char"/>
    <w:link w:val="42"/>
    <w:qFormat/>
    <w:uiPriority w:val="0"/>
    <w:rPr>
      <w:rFonts w:ascii="宋体" w:hAnsi="MS Sans Serif"/>
      <w:color w:val="000000"/>
      <w:sz w:val="24"/>
    </w:rPr>
  </w:style>
  <w:style w:type="character" w:customStyle="1" w:styleId="124">
    <w:name w:val="页脚 Char"/>
    <w:link w:val="32"/>
    <w:qFormat/>
    <w:uiPriority w:val="0"/>
    <w:rPr>
      <w:kern w:val="2"/>
      <w:sz w:val="18"/>
      <w:szCs w:val="18"/>
    </w:rPr>
  </w:style>
  <w:style w:type="character" w:customStyle="1" w:styleId="125">
    <w:name w:val="正文文本 Char"/>
    <w:link w:val="18"/>
    <w:qFormat/>
    <w:uiPriority w:val="0"/>
    <w:rPr>
      <w:kern w:val="2"/>
      <w:sz w:val="21"/>
      <w:szCs w:val="24"/>
    </w:rPr>
  </w:style>
  <w:style w:type="character" w:customStyle="1" w:styleId="126">
    <w:name w:val="页眉 Char"/>
    <w:link w:val="33"/>
    <w:qFormat/>
    <w:uiPriority w:val="0"/>
    <w:rPr>
      <w:kern w:val="2"/>
      <w:sz w:val="18"/>
      <w:szCs w:val="18"/>
    </w:rPr>
  </w:style>
  <w:style w:type="character" w:customStyle="1" w:styleId="127">
    <w:name w:val="正文文本 3 Char1"/>
    <w:link w:val="17"/>
    <w:qFormat/>
    <w:uiPriority w:val="0"/>
    <w:rPr>
      <w:rFonts w:ascii="仿宋_GB2312" w:hAnsi="宋体" w:eastAsia="仿宋_GB2312"/>
      <w:color w:val="000000"/>
      <w:kern w:val="2"/>
      <w:sz w:val="24"/>
      <w:szCs w:val="24"/>
    </w:rPr>
  </w:style>
  <w:style w:type="character" w:customStyle="1" w:styleId="128">
    <w:name w:val="批注框文本 Char"/>
    <w:link w:val="31"/>
    <w:qFormat/>
    <w:uiPriority w:val="0"/>
    <w:rPr>
      <w:kern w:val="2"/>
      <w:sz w:val="18"/>
      <w:szCs w:val="18"/>
    </w:rPr>
  </w:style>
  <w:style w:type="character" w:customStyle="1" w:styleId="129">
    <w:name w:val="副标题 Char"/>
    <w:link w:val="38"/>
    <w:qFormat/>
    <w:uiPriority w:val="0"/>
    <w:rPr>
      <w:rFonts w:ascii="Arial" w:hAnsi="Arial" w:cs="Arial"/>
      <w:b/>
      <w:bCs/>
      <w:kern w:val="28"/>
      <w:sz w:val="32"/>
      <w:szCs w:val="32"/>
    </w:rPr>
  </w:style>
  <w:style w:type="character" w:customStyle="1" w:styleId="130">
    <w:name w:val="批注主题 Char"/>
    <w:link w:val="48"/>
    <w:qFormat/>
    <w:uiPriority w:val="0"/>
    <w:rPr>
      <w:b/>
      <w:bCs/>
      <w:kern w:val="2"/>
      <w:sz w:val="21"/>
      <w:szCs w:val="24"/>
    </w:rPr>
  </w:style>
  <w:style w:type="character" w:customStyle="1" w:styleId="131">
    <w:name w:val="标题 Char"/>
    <w:link w:val="47"/>
    <w:qFormat/>
    <w:uiPriority w:val="0"/>
    <w:rPr>
      <w:rFonts w:ascii="Arial" w:hAnsi="Arial" w:cs="Arial"/>
      <w:b/>
      <w:bCs/>
      <w:kern w:val="2"/>
      <w:sz w:val="32"/>
      <w:szCs w:val="32"/>
    </w:rPr>
  </w:style>
  <w:style w:type="character" w:customStyle="1" w:styleId="132">
    <w:name w:val="标题4 Char Char"/>
    <w:link w:val="133"/>
    <w:qFormat/>
    <w:uiPriority w:val="0"/>
    <w:rPr>
      <w:rFonts w:ascii="Arial" w:hAnsi="Arial"/>
      <w:b/>
      <w:bCs/>
      <w:sz w:val="24"/>
      <w:szCs w:val="32"/>
    </w:rPr>
  </w:style>
  <w:style w:type="paragraph" w:customStyle="1" w:styleId="133">
    <w:name w:val="标题4"/>
    <w:basedOn w:val="3"/>
    <w:next w:val="23"/>
    <w:link w:val="132"/>
    <w:qFormat/>
    <w:uiPriority w:val="0"/>
    <w:pPr>
      <w:widowControl w:val="0"/>
      <w:spacing w:line="413" w:lineRule="auto"/>
      <w:jc w:val="both"/>
    </w:pPr>
    <w:rPr>
      <w:rFonts w:eastAsia="宋体"/>
      <w:bCs/>
      <w:sz w:val="24"/>
      <w:szCs w:val="32"/>
    </w:rPr>
  </w:style>
  <w:style w:type="character" w:customStyle="1" w:styleId="134">
    <w:name w:val="明显引用 Char"/>
    <w:link w:val="135"/>
    <w:qFormat/>
    <w:uiPriority w:val="0"/>
    <w:rPr>
      <w:b/>
      <w:bCs/>
      <w:i/>
      <w:iCs/>
      <w:color w:val="4F81BD"/>
    </w:rPr>
  </w:style>
  <w:style w:type="paragraph" w:styleId="135">
    <w:name w:val="Intense Quote"/>
    <w:basedOn w:val="1"/>
    <w:next w:val="1"/>
    <w:link w:val="134"/>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136">
    <w:name w:val="明显引用 Char1"/>
    <w:qFormat/>
    <w:uiPriority w:val="30"/>
    <w:rPr>
      <w:b/>
      <w:bCs/>
      <w:i/>
      <w:iCs/>
      <w:color w:val="4F81BD"/>
      <w:kern w:val="2"/>
      <w:sz w:val="21"/>
      <w:szCs w:val="24"/>
    </w:rPr>
  </w:style>
  <w:style w:type="character" w:customStyle="1" w:styleId="137">
    <w:name w:val="Book Title"/>
    <w:qFormat/>
    <w:uiPriority w:val="0"/>
    <w:rPr>
      <w:b/>
      <w:bCs/>
      <w:smallCaps/>
      <w:spacing w:val="5"/>
    </w:rPr>
  </w:style>
  <w:style w:type="character" w:customStyle="1" w:styleId="138">
    <w:name w:val="Intense Emphasis"/>
    <w:qFormat/>
    <w:uiPriority w:val="0"/>
    <w:rPr>
      <w:b/>
      <w:bCs/>
      <w:i/>
      <w:iCs/>
      <w:color w:val="4F81BD"/>
    </w:rPr>
  </w:style>
  <w:style w:type="character" w:customStyle="1" w:styleId="139">
    <w:name w:val="标题5 Char Char"/>
    <w:link w:val="140"/>
    <w:qFormat/>
    <w:uiPriority w:val="0"/>
    <w:rPr>
      <w:rFonts w:ascii="Arial" w:hAnsi="Arial"/>
      <w:b/>
      <w:bCs/>
      <w:sz w:val="24"/>
      <w:szCs w:val="32"/>
    </w:rPr>
  </w:style>
  <w:style w:type="paragraph" w:customStyle="1" w:styleId="140">
    <w:name w:val="标题5"/>
    <w:basedOn w:val="5"/>
    <w:link w:val="139"/>
    <w:qFormat/>
    <w:uiPriority w:val="0"/>
    <w:pPr>
      <w:widowControl w:val="0"/>
      <w:numPr>
        <w:ilvl w:val="0"/>
        <w:numId w:val="0"/>
      </w:numPr>
      <w:spacing w:before="260" w:after="260" w:line="413" w:lineRule="auto"/>
      <w:jc w:val="both"/>
    </w:pPr>
    <w:rPr>
      <w:rFonts w:ascii="Arial" w:hAnsi="Arial"/>
      <w:bCs/>
      <w:sz w:val="24"/>
      <w:szCs w:val="32"/>
    </w:rPr>
  </w:style>
  <w:style w:type="character" w:customStyle="1" w:styleId="141">
    <w:name w:val="textcontents"/>
    <w:qFormat/>
    <w:uiPriority w:val="0"/>
    <w:rPr>
      <w:rFonts w:cs="Times New Roman"/>
    </w:rPr>
  </w:style>
  <w:style w:type="character" w:customStyle="1" w:styleId="142">
    <w:name w:val="Subtle Emphasis"/>
    <w:qFormat/>
    <w:uiPriority w:val="0"/>
    <w:rPr>
      <w:i/>
      <w:iCs/>
      <w:color w:val="808080"/>
    </w:rPr>
  </w:style>
  <w:style w:type="character" w:customStyle="1" w:styleId="143">
    <w:name w:val="Subtle Reference"/>
    <w:qFormat/>
    <w:uiPriority w:val="0"/>
    <w:rPr>
      <w:smallCaps/>
      <w:color w:val="C0504D"/>
      <w:u w:val="single"/>
    </w:rPr>
  </w:style>
  <w:style w:type="character" w:customStyle="1" w:styleId="144">
    <w:name w:val="日期 Char1"/>
    <w:qFormat/>
    <w:uiPriority w:val="0"/>
    <w:rPr>
      <w:kern w:val="2"/>
      <w:sz w:val="21"/>
      <w:szCs w:val="22"/>
    </w:rPr>
  </w:style>
  <w:style w:type="character" w:customStyle="1" w:styleId="145">
    <w:name w:val="正文文本 Char1"/>
    <w:qFormat/>
    <w:uiPriority w:val="0"/>
    <w:rPr>
      <w:kern w:val="2"/>
      <w:sz w:val="21"/>
      <w:szCs w:val="22"/>
    </w:rPr>
  </w:style>
  <w:style w:type="character" w:customStyle="1" w:styleId="146">
    <w:name w:val="批注主题 Char1"/>
    <w:qFormat/>
    <w:uiPriority w:val="0"/>
    <w:rPr>
      <w:b/>
      <w:bCs/>
      <w:kern w:val="2"/>
      <w:sz w:val="21"/>
      <w:szCs w:val="22"/>
    </w:rPr>
  </w:style>
  <w:style w:type="character" w:customStyle="1" w:styleId="147">
    <w:name w:val="批注文字 Char Char"/>
    <w:qFormat/>
    <w:uiPriority w:val="0"/>
    <w:rPr>
      <w:rFonts w:ascii="宋体" w:hAnsi="Times New Roman" w:eastAsia="宋体" w:cs="Times New Roman"/>
      <w:sz w:val="28"/>
      <w:szCs w:val="20"/>
    </w:rPr>
  </w:style>
  <w:style w:type="character" w:customStyle="1" w:styleId="148">
    <w:name w:val="Intense Reference"/>
    <w:qFormat/>
    <w:uiPriority w:val="0"/>
    <w:rPr>
      <w:b/>
      <w:bCs/>
      <w:smallCaps/>
      <w:color w:val="C0504D"/>
      <w:spacing w:val="5"/>
      <w:u w:val="single"/>
    </w:rPr>
  </w:style>
  <w:style w:type="character" w:customStyle="1" w:styleId="149">
    <w:name w:val="批注框文本 Char1"/>
    <w:qFormat/>
    <w:uiPriority w:val="0"/>
    <w:rPr>
      <w:kern w:val="2"/>
      <w:sz w:val="18"/>
      <w:szCs w:val="18"/>
    </w:rPr>
  </w:style>
  <w:style w:type="character" w:customStyle="1" w:styleId="150">
    <w:name w:val="引用 Char"/>
    <w:link w:val="151"/>
    <w:qFormat/>
    <w:uiPriority w:val="0"/>
    <w:rPr>
      <w:i/>
      <w:iCs/>
      <w:color w:val="000000"/>
    </w:rPr>
  </w:style>
  <w:style w:type="paragraph" w:styleId="151">
    <w:name w:val="Quote"/>
    <w:basedOn w:val="1"/>
    <w:next w:val="1"/>
    <w:link w:val="150"/>
    <w:qFormat/>
    <w:uiPriority w:val="0"/>
    <w:rPr>
      <w:i/>
      <w:iCs/>
      <w:color w:val="000000"/>
      <w:kern w:val="0"/>
      <w:sz w:val="20"/>
      <w:szCs w:val="20"/>
    </w:rPr>
  </w:style>
  <w:style w:type="character" w:customStyle="1" w:styleId="152">
    <w:name w:val="引用 Char1"/>
    <w:qFormat/>
    <w:uiPriority w:val="29"/>
    <w:rPr>
      <w:i/>
      <w:iCs/>
      <w:color w:val="000000"/>
      <w:kern w:val="2"/>
      <w:sz w:val="21"/>
      <w:szCs w:val="24"/>
    </w:rPr>
  </w:style>
  <w:style w:type="character" w:customStyle="1" w:styleId="153">
    <w:name w:val="文档结构图 Char"/>
    <w:link w:val="14"/>
    <w:qFormat/>
    <w:uiPriority w:val="0"/>
    <w:rPr>
      <w:szCs w:val="24"/>
      <w:shd w:val="clear" w:color="auto" w:fill="000080"/>
    </w:rPr>
  </w:style>
  <w:style w:type="character" w:customStyle="1" w:styleId="154">
    <w:name w:val="文档结构图 Char1"/>
    <w:qFormat/>
    <w:uiPriority w:val="0"/>
    <w:rPr>
      <w:rFonts w:ascii="宋体"/>
      <w:kern w:val="2"/>
      <w:sz w:val="18"/>
      <w:szCs w:val="18"/>
    </w:rPr>
  </w:style>
  <w:style w:type="character" w:customStyle="1" w:styleId="155">
    <w:name w:val="批注文字 Char1"/>
    <w:semiHidden/>
    <w:qFormat/>
    <w:uiPriority w:val="99"/>
  </w:style>
  <w:style w:type="paragraph" w:customStyle="1" w:styleId="156">
    <w:name w:val="样式 标题 2 + Times New Roman 四号 非加粗 段前: 5 磅 段后: 0 磅 行距: 固定值 20..."/>
    <w:basedOn w:val="3"/>
    <w:qFormat/>
    <w:uiPriority w:val="0"/>
    <w:pPr>
      <w:widowControl w:val="0"/>
      <w:spacing w:before="100" w:after="0" w:line="400" w:lineRule="exact"/>
      <w:jc w:val="both"/>
    </w:pPr>
    <w:rPr>
      <w:rFonts w:ascii="Times New Roman" w:hAnsi="Times New Roman" w:cs="宋体"/>
      <w:b w:val="0"/>
      <w:sz w:val="28"/>
    </w:rPr>
  </w:style>
  <w:style w:type="paragraph" w:styleId="157">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58">
    <w:name w:val="副标题 Char1"/>
    <w:qFormat/>
    <w:uiPriority w:val="11"/>
    <w:rPr>
      <w:rFonts w:ascii="Cambria" w:hAnsi="Cambria" w:eastAsia="宋体" w:cs="Times New Roman"/>
      <w:b/>
      <w:bCs/>
      <w:kern w:val="28"/>
      <w:sz w:val="32"/>
      <w:szCs w:val="32"/>
    </w:rPr>
  </w:style>
  <w:style w:type="character" w:customStyle="1" w:styleId="159">
    <w:name w:val="标题 Char1"/>
    <w:qFormat/>
    <w:uiPriority w:val="10"/>
    <w:rPr>
      <w:rFonts w:ascii="Cambria" w:hAnsi="Cambria" w:eastAsia="宋体" w:cs="Times New Roman"/>
      <w:b/>
      <w:bCs/>
      <w:sz w:val="32"/>
      <w:szCs w:val="32"/>
    </w:rPr>
  </w:style>
  <w:style w:type="character" w:customStyle="1" w:styleId="160">
    <w:name w:val="文档结构图 Char2"/>
    <w:qFormat/>
    <w:uiPriority w:val="99"/>
    <w:rPr>
      <w:rFonts w:ascii="宋体"/>
      <w:kern w:val="2"/>
      <w:sz w:val="18"/>
      <w:szCs w:val="18"/>
    </w:rPr>
  </w:style>
  <w:style w:type="paragraph" w:customStyle="1" w:styleId="161">
    <w:name w:val="Revision"/>
    <w:qFormat/>
    <w:uiPriority w:val="99"/>
    <w:rPr>
      <w:rFonts w:ascii="Times New Roman" w:hAnsi="Times New Roman" w:eastAsia="宋体" w:cs="Times New Roman"/>
      <w:kern w:val="2"/>
      <w:sz w:val="21"/>
      <w:szCs w:val="24"/>
      <w:lang w:val="en-US" w:eastAsia="zh-CN" w:bidi="ar-SA"/>
    </w:rPr>
  </w:style>
  <w:style w:type="character" w:customStyle="1" w:styleId="162">
    <w:name w:val="批注主题 Char2"/>
    <w:semiHidden/>
    <w:qFormat/>
    <w:uiPriority w:val="99"/>
    <w:rPr>
      <w:b/>
      <w:bCs/>
    </w:rPr>
  </w:style>
  <w:style w:type="paragraph" w:customStyle="1" w:styleId="16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164">
    <w:name w:val="批注框文本 Char2"/>
    <w:semiHidden/>
    <w:qFormat/>
    <w:uiPriority w:val="99"/>
    <w:rPr>
      <w:sz w:val="18"/>
      <w:szCs w:val="18"/>
    </w:rPr>
  </w:style>
  <w:style w:type="paragraph" w:customStyle="1" w:styleId="165">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66">
    <w:name w:val="样式 标题 3 + (中文) 黑体 小四 非加粗 段前: 7.8 磅 段后: 0 磅 行距: 固定值 20 磅"/>
    <w:basedOn w:val="5"/>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67">
    <w:name w:val="TOC Heading"/>
    <w:basedOn w:val="2"/>
    <w:next w:val="1"/>
    <w:qFormat/>
    <w:uiPriority w:val="39"/>
    <w:pPr>
      <w:keepLines/>
      <w:widowControl w:val="0"/>
      <w:numPr>
        <w:numId w:val="0"/>
      </w:numPr>
      <w:spacing w:before="340" w:after="330" w:line="576" w:lineRule="auto"/>
      <w:jc w:val="both"/>
      <w:outlineLvl w:val="9"/>
    </w:pPr>
    <w:rPr>
      <w:rFonts w:ascii="Calibri" w:hAnsi="Calibri" w:eastAsia="宋体"/>
      <w:b/>
      <w:bCs/>
      <w:kern w:val="44"/>
      <w:sz w:val="44"/>
      <w:szCs w:val="44"/>
    </w:rPr>
  </w:style>
  <w:style w:type="character" w:customStyle="1" w:styleId="168">
    <w:name w:val="脚注文本 Char"/>
    <w:basedOn w:val="51"/>
    <w:link w:val="40"/>
    <w:qFormat/>
    <w:uiPriority w:val="0"/>
    <w:rPr>
      <w:sz w:val="18"/>
    </w:rPr>
  </w:style>
  <w:style w:type="paragraph" w:customStyle="1" w:styleId="169">
    <w:name w:val="Normal_0"/>
    <w:qFormat/>
    <w:uiPriority w:val="0"/>
    <w:rPr>
      <w:rFonts w:ascii="Times New Roman" w:hAnsi="Times New Roman" w:eastAsia="Times New Roman" w:cs="Times New Roman"/>
      <w:sz w:val="24"/>
      <w:szCs w:val="24"/>
      <w:lang w:val="en-US" w:eastAsia="zh-CN" w:bidi="ar-SA"/>
    </w:rPr>
  </w:style>
  <w:style w:type="character" w:customStyle="1" w:styleId="170">
    <w:name w:val="font161"/>
    <w:qFormat/>
    <w:uiPriority w:val="0"/>
    <w:rPr>
      <w:b/>
      <w:bCs/>
      <w:sz w:val="32"/>
      <w:szCs w:val="32"/>
    </w:rPr>
  </w:style>
  <w:style w:type="paragraph" w:customStyle="1" w:styleId="171">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72">
    <w:name w:val="表格"/>
    <w:basedOn w:val="1"/>
    <w:qFormat/>
    <w:uiPriority w:val="0"/>
    <w:pPr>
      <w:jc w:val="center"/>
      <w:textAlignment w:val="center"/>
    </w:pPr>
    <w:rPr>
      <w:rFonts w:ascii="华文细黑" w:hAnsi="华文细黑"/>
      <w:kern w:val="0"/>
      <w:szCs w:val="20"/>
    </w:rPr>
  </w:style>
  <w:style w:type="paragraph" w:customStyle="1" w:styleId="173">
    <w:name w:val="表格文字"/>
    <w:basedOn w:val="1"/>
    <w:qFormat/>
    <w:uiPriority w:val="0"/>
    <w:pPr>
      <w:adjustRightInd w:val="0"/>
      <w:spacing w:line="420" w:lineRule="atLeast"/>
      <w:jc w:val="left"/>
      <w:textAlignment w:val="baseline"/>
    </w:pPr>
    <w:rPr>
      <w:kern w:val="0"/>
      <w:szCs w:val="20"/>
    </w:rPr>
  </w:style>
  <w:style w:type="paragraph" w:customStyle="1" w:styleId="174">
    <w:name w:val="表格方字"/>
    <w:basedOn w:val="1"/>
    <w:qFormat/>
    <w:uiPriority w:val="0"/>
    <w:pPr>
      <w:adjustRightInd w:val="0"/>
      <w:spacing w:before="60" w:after="60" w:line="420" w:lineRule="atLeast"/>
      <w:jc w:val="left"/>
      <w:textAlignment w:val="baseline"/>
    </w:pPr>
    <w:rPr>
      <w:kern w:val="0"/>
      <w:szCs w:val="20"/>
    </w:rPr>
  </w:style>
  <w:style w:type="paragraph" w:customStyle="1" w:styleId="175">
    <w:name w:val="表头"/>
    <w:basedOn w:val="174"/>
    <w:qFormat/>
    <w:uiPriority w:val="0"/>
    <w:rPr>
      <w:rFonts w:ascii="黑体" w:eastAsia="黑体"/>
      <w:b/>
    </w:rPr>
  </w:style>
  <w:style w:type="paragraph" w:customStyle="1" w:styleId="176">
    <w:name w:val="表格1"/>
    <w:basedOn w:val="1"/>
    <w:qFormat/>
    <w:uiPriority w:val="0"/>
    <w:pPr>
      <w:adjustRightInd w:val="0"/>
      <w:spacing w:line="420" w:lineRule="atLeast"/>
      <w:ind w:left="284"/>
      <w:textAlignment w:val="baseline"/>
    </w:pPr>
    <w:rPr>
      <w:kern w:val="0"/>
      <w:szCs w:val="20"/>
    </w:rPr>
  </w:style>
  <w:style w:type="paragraph" w:customStyle="1" w:styleId="177">
    <w:name w:val="表格3"/>
    <w:basedOn w:val="1"/>
    <w:qFormat/>
    <w:uiPriority w:val="0"/>
    <w:pPr>
      <w:adjustRightInd w:val="0"/>
      <w:spacing w:line="420" w:lineRule="atLeast"/>
      <w:textAlignment w:val="baseline"/>
    </w:pPr>
    <w:rPr>
      <w:rFonts w:eastAsia="楷体"/>
      <w:kern w:val="0"/>
      <w:szCs w:val="20"/>
    </w:rPr>
  </w:style>
  <w:style w:type="character" w:customStyle="1" w:styleId="178">
    <w:name w:val="数字"/>
    <w:qFormat/>
    <w:uiPriority w:val="0"/>
    <w:rPr>
      <w:rFonts w:eastAsia="黑体"/>
      <w:b/>
      <w:sz w:val="21"/>
    </w:rPr>
  </w:style>
  <w:style w:type="paragraph" w:customStyle="1" w:styleId="179">
    <w:name w:val="表格5"/>
    <w:basedOn w:val="180"/>
    <w:qFormat/>
    <w:uiPriority w:val="0"/>
    <w:pPr>
      <w:ind w:left="1021" w:hanging="284"/>
    </w:pPr>
    <w:rPr>
      <w:rFonts w:ascii="宋体"/>
    </w:rPr>
  </w:style>
  <w:style w:type="paragraph" w:customStyle="1" w:styleId="180">
    <w:name w:val="表格2"/>
    <w:basedOn w:val="1"/>
    <w:qFormat/>
    <w:uiPriority w:val="0"/>
    <w:pPr>
      <w:adjustRightInd w:val="0"/>
      <w:spacing w:line="420" w:lineRule="atLeast"/>
      <w:ind w:left="284" w:firstLine="454"/>
      <w:textAlignment w:val="baseline"/>
    </w:pPr>
    <w:rPr>
      <w:kern w:val="0"/>
      <w:szCs w:val="20"/>
    </w:rPr>
  </w:style>
  <w:style w:type="paragraph" w:customStyle="1" w:styleId="181">
    <w:name w:val="表格4"/>
    <w:basedOn w:val="1"/>
    <w:qFormat/>
    <w:uiPriority w:val="0"/>
    <w:pPr>
      <w:adjustRightInd w:val="0"/>
      <w:spacing w:line="420" w:lineRule="atLeast"/>
      <w:ind w:left="1021"/>
      <w:textAlignment w:val="baseline"/>
    </w:pPr>
    <w:rPr>
      <w:kern w:val="0"/>
      <w:szCs w:val="20"/>
    </w:rPr>
  </w:style>
  <w:style w:type="paragraph" w:customStyle="1" w:styleId="182">
    <w:name w:val="表格6"/>
    <w:basedOn w:val="179"/>
    <w:qFormat/>
    <w:uiPriority w:val="0"/>
    <w:pPr>
      <w:ind w:left="737" w:firstLine="0"/>
    </w:pPr>
  </w:style>
  <w:style w:type="paragraph" w:customStyle="1" w:styleId="183">
    <w:name w:val="2"/>
    <w:basedOn w:val="1"/>
    <w:qFormat/>
    <w:uiPriority w:val="0"/>
    <w:pPr>
      <w:adjustRightInd w:val="0"/>
      <w:spacing w:line="420" w:lineRule="atLeast"/>
      <w:ind w:left="1134" w:hanging="227"/>
      <w:textAlignment w:val="baseline"/>
    </w:pPr>
    <w:rPr>
      <w:kern w:val="0"/>
      <w:szCs w:val="20"/>
    </w:rPr>
  </w:style>
  <w:style w:type="paragraph" w:customStyle="1" w:styleId="184">
    <w:name w:val="表中"/>
    <w:basedOn w:val="1"/>
    <w:qFormat/>
    <w:uiPriority w:val="0"/>
    <w:pPr>
      <w:adjustRightInd w:val="0"/>
      <w:spacing w:line="360" w:lineRule="atLeast"/>
      <w:jc w:val="center"/>
      <w:textAlignment w:val="baseline"/>
    </w:pPr>
    <w:rPr>
      <w:kern w:val="0"/>
      <w:szCs w:val="20"/>
    </w:rPr>
  </w:style>
  <w:style w:type="paragraph" w:customStyle="1" w:styleId="185">
    <w:name w:val="af15hichaf0dbchf15cgrid"/>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86">
    <w:name w:val="Char Char Char Char Char Char"/>
    <w:basedOn w:val="1"/>
    <w:qFormat/>
    <w:uiPriority w:val="0"/>
  </w:style>
  <w:style w:type="character" w:customStyle="1" w:styleId="187">
    <w:name w:val="尾注文本 Char"/>
    <w:basedOn w:val="51"/>
    <w:link w:val="30"/>
    <w:qFormat/>
    <w:uiPriority w:val="0"/>
    <w:rPr>
      <w:kern w:val="2"/>
      <w:sz w:val="21"/>
      <w:szCs w:val="24"/>
    </w:rPr>
  </w:style>
  <w:style w:type="paragraph" w:customStyle="1" w:styleId="188">
    <w:name w:val="Char Char Char Char Char Char Char Char Char Char Char Char Char Char Char Char Char Char1 Char Char Char Char"/>
    <w:basedOn w:val="1"/>
    <w:qFormat/>
    <w:uiPriority w:val="0"/>
  </w:style>
  <w:style w:type="paragraph" w:customStyle="1" w:styleId="189">
    <w:name w:val="Char Char Char"/>
    <w:basedOn w:val="1"/>
    <w:qFormat/>
    <w:uiPriority w:val="0"/>
    <w:rPr>
      <w:szCs w:val="20"/>
    </w:rPr>
  </w:style>
  <w:style w:type="character" w:customStyle="1" w:styleId="190">
    <w:name w:val="H001 Char"/>
    <w:link w:val="191"/>
    <w:qFormat/>
    <w:uiPriority w:val="0"/>
    <w:rPr>
      <w:rFonts w:eastAsia="黑体"/>
      <w:bCs/>
      <w:kern w:val="44"/>
      <w:sz w:val="24"/>
      <w:szCs w:val="44"/>
    </w:rPr>
  </w:style>
  <w:style w:type="paragraph" w:customStyle="1" w:styleId="191">
    <w:name w:val="H001"/>
    <w:basedOn w:val="2"/>
    <w:link w:val="190"/>
    <w:qFormat/>
    <w:uiPriority w:val="0"/>
    <w:pPr>
      <w:keepLines/>
      <w:widowControl w:val="0"/>
      <w:numPr>
        <w:numId w:val="0"/>
      </w:numPr>
      <w:spacing w:before="240" w:after="240" w:line="240" w:lineRule="exact"/>
      <w:jc w:val="both"/>
    </w:pPr>
    <w:rPr>
      <w:rFonts w:ascii="Times New Roman"/>
      <w:bCs/>
      <w:kern w:val="44"/>
      <w:sz w:val="24"/>
      <w:szCs w:val="44"/>
    </w:rPr>
  </w:style>
  <w:style w:type="character" w:customStyle="1" w:styleId="192">
    <w:name w:val="批注文字 字符"/>
    <w:qFormat/>
    <w:locked/>
    <w:uiPriority w:val="0"/>
    <w:rPr>
      <w:rFonts w:eastAsia="宋体"/>
      <w:sz w:val="24"/>
      <w:lang w:val="en-US" w:eastAsia="zh-CN" w:bidi="ar-SA"/>
    </w:rPr>
  </w:style>
  <w:style w:type="character" w:customStyle="1" w:styleId="193">
    <w:name w:val="正文文本 3 Char"/>
    <w:basedOn w:val="51"/>
    <w:qFormat/>
    <w:locked/>
    <w:uiPriority w:val="99"/>
    <w:rPr>
      <w:rFonts w:ascii="仿宋_GB2312" w:hAnsi="宋体" w:eastAsia="仿宋_GB2312"/>
      <w:color w:val="000000"/>
      <w:kern w:val="2"/>
      <w:sz w:val="24"/>
    </w:rPr>
  </w:style>
  <w:style w:type="paragraph" w:customStyle="1" w:styleId="194">
    <w:name w:val="_Style 193"/>
    <w:basedOn w:val="1"/>
    <w:next w:val="1"/>
    <w:qFormat/>
    <w:uiPriority w:val="39"/>
    <w:pPr>
      <w:ind w:left="210"/>
      <w:jc w:val="left"/>
    </w:pPr>
    <w:rPr>
      <w:rFonts w:ascii="Calibri" w:hAnsi="Calibri"/>
      <w:smallCaps/>
      <w:sz w:val="20"/>
      <w:szCs w:val="20"/>
    </w:rPr>
  </w:style>
  <w:style w:type="paragraph" w:customStyle="1" w:styleId="195">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eastAsia="仿宋_GB2312"/>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wmf"/><Relationship Id="rId24" Type="http://schemas.openxmlformats.org/officeDocument/2006/relationships/oleObject" Target="embeddings/oleObject1.bin"/><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D85F8E-A2C0-4EAE-8DE8-625218FAAF7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163</Pages>
  <Words>19883</Words>
  <Characters>113338</Characters>
  <Lines>944</Lines>
  <Paragraphs>265</Paragraphs>
  <TotalTime>2</TotalTime>
  <ScaleCrop>false</ScaleCrop>
  <LinksUpToDate>false</LinksUpToDate>
  <CharactersWithSpaces>132956</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2020-07-10T04:30:00Z</dcterms:created>
  <dc:creator>李正英</dc:creator>
  <cp:lastModifiedBy>未定义</cp:lastModifiedBy>
  <cp:lastPrinted>2013-12-11T01:32:00Z</cp:lastPrinted>
  <dcterms:modified xsi:type="dcterms:W3CDTF">2021-04-01T07:30:01Z</dcterms:modified>
  <dc:title>****工程施工</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22A882A73E9B4A4098E5A1B0CAB33C8E</vt:lpwstr>
  </property>
</Properties>
</file>